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https://www.cnmc.es/expedientes/c133622</w:t>
      </w:r>
    </w:p>
    <w:p>
      <w:r>
        <w:t>Pages translated : 2</w:t>
      </w:r>
    </w:p>
    <w:p/>
    <w:p>
      <w:r>
        <w:rPr>
          <w:b/>
        </w:rPr>
        <w:t>[Pages 1–2]</w:t>
      </w:r>
    </w:p>
    <w:p>
      <w:r>
        <w:t xml:space="preserve">C/1336/22  </w:t>
        <w:br/>
        <w:t xml:space="preserve">BSC / MI TECH  </w:t>
        <w:br/>
        <w:t xml:space="preserve">RESOLUTION  </w:t>
        <w:br/>
        <w:t xml:space="preserve">FILE BSC / MI TECH  </w:t>
        <w:br/>
        <w:t xml:space="preserve">(C/1336/22)  </w:t>
        <w:br/>
        <w:t xml:space="preserve">COUNCIL. COMPETITION CHAMBER  </w:t>
        <w:br/>
        <w:t xml:space="preserve">President  </w:t>
        <w:br/>
        <w:t xml:space="preserve">Ms. Cani Fernández Vicién  </w:t>
        <w:br/>
        <w:t xml:space="preserve">Councilors  </w:t>
        <w:br/>
        <w:t xml:space="preserve">Mr. Carlos Aguilar Paredes  </w:t>
        <w:br/>
        <w:t xml:space="preserve">Mr. Josep María Salas Prat  </w:t>
        <w:br/>
        <w:t xml:space="preserve">Ms. María Jesús Martín Martínez  </w:t>
        <w:br/>
        <w:t xml:space="preserve">Mr. Bernardo Lorenzo Almendros  </w:t>
        <w:br/>
        <w:t xml:space="preserve">Secretary of the Council  </w:t>
        <w:br/>
        <w:t xml:space="preserve">Mr. Miguel Bordiu Garcia-Ovies  </w:t>
        <w:br/>
        <w:t xml:space="preserve">In Barcelona, on May 24, 2023  </w:t>
        <w:br/>
        <w:t xml:space="preserve">The Competition Chamber issued, on February 8, 2023, a resolution by which it was agreed to initiate the second phase of the procedure in accordance with Article 57.2 c) of the LDC, considering that the aforementioned concentration operation could hinder the maintenance of effective competition in all or some of the considered markets.  </w:t>
        <w:br/>
        <w:t xml:space="preserve">On May 16, 2023, the Notifying Party submitted a document formally communicating the decision of the parties to withdraw from the proposed operation in accordance with Articles 44 d) of the LDC and Article 54.3 of RD 261/2008, of February 22, which approves the Competition Defense Regulation.  </w:t>
        <w:br/>
        <w:t xml:space="preserve">In accordance with the report and proposal submitted by the Competition Directorate, the Competition Chamber has resolved, applying Articles 57.2.e) and 44.d) of the aforementioned Law 15/2007, of July 3, to agree to archive the proceedings.  </w:t>
        <w:br/>
        <w:t xml:space="preserve">This Resolution shall be communicated to the Competition Directorate of the National Commission on Markets and Competition and notified to the interested party,  </w:t>
        <w:br/>
        <w:t xml:space="preserve">National Commission on Markets and Competition 1 of 2  </w:t>
        <w:br/>
        <w:t xml:space="preserve">C/ Alcalá, 47 – 28014 Madrid - C/ Bolivia, 56 – 08018 Barcelona  </w:t>
        <w:br/>
        <w:t>www.cnmc.es</w:t>
      </w:r>
    </w:p>
    <w:p>
      <w:r>
        <w:t xml:space="preserve">C/1336/22  </w:t>
        <w:br/>
        <w:t xml:space="preserve">BSC / MI TECH  </w:t>
        <w:br/>
        <w:t xml:space="preserve">informing them that it concludes the administrative process and that a contentious-administrative appeal can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