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https://www.cnmc.es/expedientes/c133722</w:t>
      </w:r>
    </w:p>
    <w:p>
      <w:r>
        <w:t>Pages translated : 2</w:t>
      </w:r>
    </w:p>
    <w:p/>
    <w:p>
      <w:r>
        <w:rPr>
          <w:b/>
        </w:rPr>
        <w:t>[Pages 1–2]</w:t>
      </w:r>
    </w:p>
    <w:p>
      <w:r>
        <w:t>C/1337/22 APG / ITINERE RESOLUTION FILE APG / ITINERE (C/1337/22) COUNCIL. COMPETITION CHAMBER President Ms. Cani Fernández Vicién Councilors Ms. María Pilar Canedo Arrillaga Mr. Carlos Aguilar Paredes Mr. Josep Maria Salas Prat Ms. María Jesús Martín Martínez Secretary of the Council Mr. Miguel Bordiu Garcia-Ovies In Barcelona, on October 26, 2022 The Competition Chamber has analyzed the merger file processed in accordance with Law 15/2007, of July 3, on the Defense of Competition, consisting of the acquisition of exclusive control by Stichting Depositary APG Infrastructure Pool 2017-II (“APG”) over ITÍNERE INFRAESTRUCTURAS S.A. (“ITÍNERE”). In accordance with the report and proposal submitted by the Competition Directorate, the Competition Chamber has resolved, applying Article 57.2.a) of the aforementioned Law 15/2007, of July 3, to authorize the aforementioned merger operation. Likewise, it is necessary to analyze the operation taking into account the Communication from the European Commission on restrictions directly linked to the execution of a merger and necessary for that purpose (2005/C 56/03); this Chamber considers that, in the present case, the temporal scope of the confidentiality clause, to the extent that it exceeds the two years established by the communication, goes beyond what is reasonably required by the notified merger operation and should not be considered necessary or ancillary, thus remaining subject to the general regulations applicable to agreements between companies. All of this in accordance with what is indicated in the aforementioned report proposal from the Competition Directorate. 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