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https://www.cnmc.es/expedientes/c133822</w:t>
      </w:r>
    </w:p>
    <w:p>
      <w:r>
        <w:t>Pages translated : 2</w:t>
      </w:r>
    </w:p>
    <w:p/>
    <w:p>
      <w:r>
        <w:rPr>
          <w:b/>
        </w:rPr>
        <w:t>[Pages 1–2]</w:t>
      </w:r>
    </w:p>
    <w:p>
      <w:r>
        <w:t xml:space="preserve">C/1338/22  </w:t>
        <w:br/>
        <w:t xml:space="preserve">SONEPAR – REXEL SPAIN  </w:t>
        <w:br/>
        <w:t xml:space="preserve">RESOLUTION  </w:t>
        <w:br/>
        <w:t xml:space="preserve">FILE SONEPAR / REXEL SPAIN  </w:t>
        <w:br/>
        <w:t xml:space="preserve">(C/1338/22)  </w:t>
        <w:br/>
        <w:t>COUNCIL. COMPETITION CHAMBER</w:t>
      </w:r>
    </w:p>
    <w:p>
      <w:r>
        <w:t xml:space="preserve">President  </w:t>
        <w:br/>
        <w:t>Ms. Cani Fernández Vicién</w:t>
      </w:r>
    </w:p>
    <w:p>
      <w:r>
        <w:t xml:space="preserve">Counselors  </w:t>
        <w:br/>
        <w:t xml:space="preserve">Ms. María Pilar Canedo Arrillaga  </w:t>
        <w:br/>
        <w:t xml:space="preserve">Mr. Carlos Aguilar Paredes  </w:t>
        <w:br/>
        <w:t xml:space="preserve">Mr. Josep Maria Salas Prat  </w:t>
        <w:br/>
        <w:t>Ms. María Jesús Martín Martínez</w:t>
      </w:r>
    </w:p>
    <w:p>
      <w:r>
        <w:t xml:space="preserve">Secretary of the Council  </w:t>
        <w:br/>
        <w:t>Mr. Miguel Bordiu Garcia-Ovies</w:t>
      </w:r>
    </w:p>
    <w:p>
      <w:r>
        <w:t>In Barcelona, on October 26, 2022</w:t>
      </w:r>
    </w:p>
    <w:p>
      <w:r>
        <w:t>The Competition Chamber has analyzed the concentration file processed in accordance with Law 15/2007, of July 3, on the Defense of Competition, consisting of the acquisition by Sonepar S.A.S. (SONEPAR), of exclusive control of Rexel Spain S.L. (REXEL SPAIN) and Rexel Distribuiçao Material Electrico S.A. (REXEL PORTUGAL), through the acquisition of 100% of the shares of both companies. In accordance with the report and proposal submitted by the Directorate of Competition, the Competition Chamber has resolved, applying Article 57.2.a) of the aforementioned Law 15/2007, of July 3, to authorize the said concentration operation.</w:t>
      </w:r>
    </w:p>
    <w:p>
      <w:r>
        <w:t>Likewise, it is appropriate to analyze the operation taking into account the Communication from the European Commission regarding restrictions directly linked to the execution of a concentration and necessary for that purpose (2005/C 56/03); this Chamber considers that, in the present case, with respect to the service provision and licensing agreements, as they are pending negotiation and signature, this Chamber does not currently have sufficient information to assess their accessory nature, remaining subject to the regulations on agreements between companies in all that exceeds, both in content and duration, what is established in the Communication. All of this in accordance with what is indicated in the aforementioned report proposal from the Directorate of Competition.</w:t>
      </w:r>
    </w:p>
    <w:p>
      <w:r>
        <w:t xml:space="preserve">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on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