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https://www.cnmc.es/expedientes/c133922</w:t>
      </w:r>
    </w:p>
    <w:p>
      <w:r>
        <w:t>Pages translated : 1</w:t>
      </w:r>
    </w:p>
    <w:p/>
    <w:p>
      <w:r>
        <w:rPr>
          <w:b/>
        </w:rPr>
        <w:t>[Pages 1–1]</w:t>
      </w:r>
    </w:p>
    <w:p>
      <w:r>
        <w:t xml:space="preserve">C/1339/22  </w:t>
        <w:br/>
        <w:t xml:space="preserve">AYESA / IBERMÁTICA  </w:t>
        <w:br/>
        <w:t xml:space="preserve">RESOLUTION  </w:t>
        <w:br/>
        <w:t xml:space="preserve">FILE AYESA / IBERMÁTICA  </w:t>
        <w:br/>
        <w:t xml:space="preserve">(C/1339/22)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October 19, 2022</w:t>
      </w:r>
    </w:p>
    <w:p>
      <w:r>
        <w:t>The Competition Chamber has analyzed the concentration file processed in accordance with Law 15/2007, of July 3, on the Defense of Competition, consisting of the acquisition by Ayesa Inversiones S.L.U. (AYESA), a company ultimately controlled by the private equity fund A&amp;M Capital Europe (AMCE), of exclusive control of Ibermática, S.A. (IBERMATICA), a company ultimately controlled by the private equity fund Glendower Capital (GLENDOWER). In accordance with the report and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