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Spanish</w:t>
      </w:r>
    </w:p>
    <w:p>
      <w:r>
        <w:t>Source URL       : https://www.cnmc.es/expedientes/c134022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C/1340/22  </w:t>
        <w:br/>
        <w:t xml:space="preserve">HEFAME / COFARCU  </w:t>
        <w:br/>
        <w:t xml:space="preserve">RESOLUTION  </w:t>
        <w:br/>
        <w:t xml:space="preserve">FILE HEFAME / COFARCU  </w:t>
        <w:br/>
        <w:t xml:space="preserve">(C/1340/22)  </w:t>
        <w:br/>
        <w:t xml:space="preserve">COUNCIL. COMPETITION CHAMBER  </w:t>
        <w:br/>
        <w:t xml:space="preserve">President  </w:t>
        <w:br/>
        <w:t xml:space="preserve">Ms. Cani Fernández Vicién  </w:t>
        <w:br/>
        <w:t xml:space="preserve">Counselors  </w:t>
        <w:br/>
        <w:t xml:space="preserve">Ms. María Pilar Canedo Arrillaga  </w:t>
        <w:br/>
        <w:t xml:space="preserve">Mr. Carlos Aguilar Paredes  </w:t>
        <w:br/>
        <w:t xml:space="preserve">Mr. Josep Maria Salas Prat  </w:t>
        <w:br/>
        <w:t xml:space="preserve">Ms. María Jesús Martín Martínez  </w:t>
        <w:br/>
        <w:t xml:space="preserve">Secretary of the Council  </w:t>
        <w:br/>
        <w:t xml:space="preserve">Mr. Miguel Bordiu Garcia-Ovies  </w:t>
        <w:br/>
        <w:t xml:space="preserve">In Barcelona, on October 26, 2022  </w:t>
        <w:br/>
        <w:t xml:space="preserve">The Competition Chamber has analyzed the concentration file processed  </w:t>
        <w:br/>
        <w:t xml:space="preserve">in accordance with Law 15/2007, of July 3, on the Defense of Competition,  </w:t>
        <w:br/>
        <w:t xml:space="preserve">consisting of the merger by absorption of Farmacéutica Conquense Sdad. Coop.  </w:t>
        <w:br/>
        <w:t xml:space="preserve">CLM (hereinafter, COFARCU), by Hermandad Farmacéutica del  </w:t>
        <w:br/>
        <w:t xml:space="preserve">Mediterráneo, Soc. Coop. Ltda (hereinafter, HEFAME). In accordance with the  </w:t>
        <w:br/>
        <w:t xml:space="preserve">report and proposal submitted by the Competition Directorate, the Competition  </w:t>
        <w:br/>
        <w:t xml:space="preserve">Chamber has resolved, in application of Article 57.2.b) of the aforementioned  </w:t>
        <w:br/>
        <w:t xml:space="preserve">Law 15/2007, of July 3, to authorize the aforementioned concentration operation  </w:t>
        <w:br/>
        <w:t xml:space="preserve">subject to the fulfillment of the commitments presented by the notifying party  </w:t>
        <w:br/>
        <w:t xml:space="preserve">on October 7, 2022.  </w:t>
        <w:br/>
        <w:t xml:space="preserve">This Resolution shall be communicated to the Competition Directorate of the  </w:t>
        <w:br/>
        <w:t xml:space="preserve">National Commission on Markets and Competition and notified to the interested  </w:t>
        <w:br/>
        <w:t xml:space="preserve">party, informing them that it concludes the administrative procedure and that a  </w:t>
        <w:br/>
        <w:t xml:space="preserve">contentious-administrative appeal may be filed against it before the National  </w:t>
        <w:br/>
        <w:t xml:space="preserve">Court, within a period of two months from the day following its notification.  </w:t>
        <w:br/>
        <w:t xml:space="preserve">National Commission on Markets and Competition 1 of 1  </w:t>
        <w:br/>
        <w:t xml:space="preserve">C/ Alcalá, 47 – 28014 Madrid - C/ Bolivia, 56 – 08018 Barcelona  </w:t>
        <w:br/>
        <w:t>www.cnmc.es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