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https://www.cnmc.es/expedientes/c134222</w:t>
      </w:r>
    </w:p>
    <w:p>
      <w:r>
        <w:t>Pages translated : 2</w:t>
      </w:r>
    </w:p>
    <w:p/>
    <w:p>
      <w:r>
        <w:rPr>
          <w:b/>
        </w:rPr>
        <w:t>[Pages 1–2]</w:t>
      </w:r>
    </w:p>
    <w:p>
      <w:r>
        <w:t xml:space="preserve">C/1342/22  </w:t>
        <w:br/>
        <w:t xml:space="preserve">REPSOL / ALTERNA CLIENT PORTFOLIO  </w:t>
        <w:br/>
        <w:t xml:space="preserve">RESOLUTION  </w:t>
        <w:br/>
        <w:t xml:space="preserve">FILE REPSOL / ALTERNA CLIENT PORTFOLIO  </w:t>
        <w:br/>
        <w:t xml:space="preserve">(C/1342/22)  </w:t>
        <w:br/>
        <w:t>COUNCIL. COMPETITION CHAMBER</w:t>
      </w:r>
    </w:p>
    <w:p>
      <w:r>
        <w:t xml:space="preserve">President  </w:t>
        <w:br/>
        <w:t>Ms. Cani Fernández Vicién</w:t>
      </w:r>
    </w:p>
    <w:p>
      <w:r>
        <w:t xml:space="preserve">Counselors  </w:t>
        <w:br/>
        <w:t xml:space="preserve">Ms. María Pilar Canedo Arrillaga  </w:t>
        <w:br/>
        <w:t xml:space="preserve">Mr. Carlos Aguilar Paredes  </w:t>
        <w:br/>
        <w:t xml:space="preserve">Mr. Josep Maria Salas Prat  </w:t>
        <w:br/>
        <w:t>Ms. María Jesús Martín Martínez</w:t>
      </w:r>
    </w:p>
    <w:p>
      <w:r>
        <w:t xml:space="preserve">Secretary of the Council  </w:t>
        <w:br/>
        <w:t>Mr. Miguel Bordiu Garcia-Ovies</w:t>
      </w:r>
    </w:p>
    <w:p>
      <w:r>
        <w:t>In Madrid, on November 8, 2022</w:t>
      </w:r>
    </w:p>
    <w:p>
      <w:r>
        <w:t>The Competition Chamber has analyzed the concentration file processed in accordance with Law 15/2007, of July 3, on the Defense of Competition, consisting of the acquisition of assets (client portfolio) by Repsol Comercializadora de Electricidad y Gas, S.L.U. (hereinafter, REPSOL CEyG), over the retail electricity and gas marketing or supply business of Alterna Operador Integral, S.L. (hereinafter, ALTERNA), a subsidiary of Global Dominion Access, S.A. (hereinafter, GLOBAL DOMINION). In accordance with the report and proposal submitted by the Competition Directorate, the Competition Chamber has resolved, applying Article 57.2.a) of the aforementioned Law 15/2007, of July 3, to authorize the aforementioned concentration operation.</w:t>
      </w:r>
    </w:p>
    <w:p>
      <w:r>
        <w:t xml:space="preserve">It is also necessary to analyze the operation taking into account the Communication from the European Commission on restrictions directly linked to the execution of a concentration and necessary for that purpose (2005/C 56/03); this Chamber considers that, in the present case, the following will not be considered necessary or ancillary for the operation and will therefore be subject to the regulations on agreements between companies:  </w:t>
        <w:br/>
        <w:t xml:space="preserve">• The duration of the transitional supply agreement (TSA) of the Collaboration Contract, insofar as it exceeds five (5) years in duration.  </w:t>
        <w:br/>
        <w:t xml:space="preserve">• The content of the transitional supply agreement (TSA) of the Collaboration Contract, insofar as it establishes exclusivity or grants the status of preferred supplier or buyer.  </w:t>
        <w:br/>
        <w:t xml:space="preserve">• The duration of the confidentiality clause of the Collaboration Contract, insofar as it refers to commercial and technical information necessary for the proper development of the Target and to the extent that it exceeds two (2) years in duration.  </w:t>
        <w:br/>
        <w:t>• The duration of the non-solicitation clause of the Sale Contract, insofar as it exceeds two (2) years in duration.</w:t>
      </w:r>
    </w:p>
    <w:p>
      <w:r>
        <w:t>All of this in accordance with what is indicated in the aforementioned report proposal from the Competition Directorate.</w:t>
      </w:r>
    </w:p>
    <w:p>
      <w:r>
        <w:t>This Resolution shall be communicated to the Competition Directorate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