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https://www.cnmc.es/expedientes/c134322</w:t>
      </w:r>
    </w:p>
    <w:p>
      <w:r>
        <w:t>Pages translated : 2</w:t>
      </w:r>
    </w:p>
    <w:p/>
    <w:p>
      <w:r>
        <w:rPr>
          <w:b/>
        </w:rPr>
        <w:t>[Pages 1–2]</w:t>
      </w:r>
    </w:p>
    <w:p>
      <w:r>
        <w:t xml:space="preserve">C/1343/22  </w:t>
        <w:br/>
        <w:t xml:space="preserve">ITALFARMACO ESPAÑA / LACER  </w:t>
        <w:br/>
        <w:t xml:space="preserve">RESOLUTION  </w:t>
        <w:br/>
        <w:t xml:space="preserve">FILE ITALFARMACO ESPAÑA / LACER  </w:t>
        <w:br/>
        <w:t xml:space="preserve">(C/1343/22)  </w:t>
        <w:br/>
        <w:t>COUNCIL. COMPETITION CHAMBER</w:t>
      </w:r>
    </w:p>
    <w:p>
      <w:r>
        <w:t xml:space="preserve">President  </w:t>
        <w:br/>
        <w:t>Ms. Cani Fernández Vicién</w:t>
      </w:r>
    </w:p>
    <w:p>
      <w:r>
        <w:t xml:space="preserve">Counselors  </w:t>
        <w:br/>
        <w:t xml:space="preserve">Ms. María Pilar Canedo Arrillaga  </w:t>
        <w:br/>
        <w:t xml:space="preserve">Mr. Carlos Aguilar Paredes  </w:t>
        <w:br/>
        <w:t xml:space="preserve">Mr. Josep Maria Salas Prat  </w:t>
        <w:br/>
        <w:t>Ms. María Jesús Martín Martínez</w:t>
      </w:r>
    </w:p>
    <w:p>
      <w:r>
        <w:t xml:space="preserve">Secretary of the Council  </w:t>
        <w:br/>
        <w:t>Mr. Miguel Bordiu Garcia-Ovies</w:t>
      </w:r>
    </w:p>
    <w:p>
      <w:r>
        <w:t>In Barcelona, on October 26, 2022</w:t>
      </w:r>
    </w:p>
    <w:p>
      <w:r>
        <w:t>The Competition Chamber has analyzed the concentration file processed in accordance with Law 15/2007, of July 3, on the Defense of Competition, consisting of the acquisition of exclusive control over LACER, S.A. and its subsidiary EFARMES, S.A.U. (hereinafter, LACER) owned by NORELDA, S.L. and SUNDIONA, A.G. (hereinafter sellers) by ITALFARMACO, S.A. (hereinafter, ITALFARMACO ESPAÑA). According to the report and proposal submitted by the Directorate of Competition, the Competition Chamber has resolved, in application of Article 57.2.a) of the aforementioned Law 15/2007, of July 3, to authorize the said concentration operation.</w:t>
      </w:r>
    </w:p>
    <w:p>
      <w:r>
        <w:t>Likewise, it is appropriate to analyze the operation taking into account the Communication from the European Commission on restrictions directly linked to the execution of a concentration and necessary for that purpose (2005/C 56/03); this Chamber considers that, in the present case, any limitation on the holding of shares for exclusively financial investment purposes that does not confer direct or indirect management functions or substantial influence over the competing company will not be considered necessary or ancillary to the operation, thus remaining subject to the regulations on agreements between companies.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