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https://www.cnmc.es/expedientes/c134422</w:t>
      </w:r>
    </w:p>
    <w:p>
      <w:r>
        <w:t>Pages translated : 2</w:t>
      </w:r>
    </w:p>
    <w:p/>
    <w:p>
      <w:r>
        <w:rPr>
          <w:b/>
        </w:rPr>
        <w:t>[Pages 1–2]</w:t>
      </w:r>
    </w:p>
    <w:p>
      <w:r>
        <w:t xml:space="preserve">C/1344/22  </w:t>
        <w:br/>
        <w:t xml:space="preserve">VISALIA / SERVIGAS  </w:t>
        <w:br/>
        <w:t xml:space="preserve">RESOLUTION  </w:t>
        <w:br/>
        <w:t xml:space="preserve">CASE FILE VISALIA / SERVIGAS  </w:t>
        <w:br/>
        <w:t xml:space="preserve">(C/1344/22)  </w:t>
        <w:br/>
        <w:t>COUNCIL. COMPETITION CHAMBER</w:t>
      </w:r>
    </w:p>
    <w:p>
      <w:r>
        <w:t xml:space="preserve">President  </w:t>
        <w:br/>
        <w:t>Ms. Cani Fernández Vicién</w:t>
      </w:r>
    </w:p>
    <w:p>
      <w:r>
        <w:t xml:space="preserve">Councilors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November 30, 2022</w:t>
      </w:r>
    </w:p>
    <w:p>
      <w:r>
        <w:t>The Competition Chamber has analyzed the merger case file processed in accordance with Law 15/2007, of July 3, on the Defense of Competition, consisting of the acquisition of exclusive control by VISALIA ENERGÍA, S.L. (hereinafter, VISALIA), over SERVIGÁS S XXI, S.A. (hereinafter, SERVIGAS), a subsidiary of CORPORACIÓN FINANCIERA ALBATROS, S.L. (hereinafter, CFA). According to the report and proposal submitted by the Competition Directorate, the Competition Chamber has resolved, in application of Article 57.2.a) of the aforementioned Law 15/2007, of July 3, to authorize the aforementioned merger operation.</w:t>
      </w:r>
    </w:p>
    <w:p>
      <w:r>
        <w:t xml:space="preserve">Furthermore, it is necessary to analyze the operation taking into account the Communication from the European Commission regarding restrictions directly linked to the execution of a merger and necessary for that purpose (2005/C 56/03); this Chamber considers that, in the present case, they will not be considered ancillary or necessary for the operation, and therefore will be subject to the regulations on agreements between companies:  </w:t>
        <w:br/>
        <w:t xml:space="preserve">National Commission of Markets and Competition 1 of 2  </w:t>
        <w:br/>
        <w:t xml:space="preserve">C/ Alcalá, 47 – 28014 Madrid - C/ Bolivia, 56 – 08018 Barcelona  </w:t>
        <w:br/>
        <w:t>www.cnmc.es</w:t>
      </w:r>
    </w:p>
    <w:p>
      <w:r>
        <w:t xml:space="preserve">C/1344/22  </w:t>
        <w:br/>
        <w:t xml:space="preserve">VISALIA / SERVIGAS  </w:t>
        <w:br/>
        <w:t xml:space="preserve">- The duration of the non-compete clause, insofar as it exceeds two (2) years from the closing date.  </w:t>
        <w:br/>
        <w:t xml:space="preserve">- Any limitation on the seller regarding the holding of shares for purely financial investment purposes that do not confer directly or indirectly management functions or substantial influence in the competing company, regardless of the percentage of participation involved.  </w:t>
        <w:br/>
        <w:t xml:space="preserve">- The duration of the non-solicitation clause, insofar as it exceeds two (2) years from the closing date.  </w:t>
        <w:br/>
        <w:t>- The confidentiality clause that protects the seller.</w:t>
      </w:r>
    </w:p>
    <w:p>
      <w:r>
        <w:t>All of this in accordance with the indications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