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https://www.cnmc.es/expedientes/c134622</w:t>
      </w:r>
    </w:p>
    <w:p>
      <w:r>
        <w:t>Pages translated : 2</w:t>
      </w:r>
    </w:p>
    <w:p/>
    <w:p>
      <w:r>
        <w:rPr>
          <w:b/>
        </w:rPr>
        <w:t>[Pages 1–2]</w:t>
      </w:r>
    </w:p>
    <w:p>
      <w:r>
        <w:t xml:space="preserve">C/1346/22  </w:t>
        <w:br/>
        <w:t xml:space="preserve">GMOL / ZPG-PENGUIN  </w:t>
        <w:br/>
        <w:t xml:space="preserve">RESOLUTION  </w:t>
        <w:br/>
        <w:t xml:space="preserve">FILE GMOL / ZPG-PENGUIN  </w:t>
        <w:br/>
        <w:t xml:space="preserve">(C/1346/22)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Barcelona, on October 26, 2022</w:t>
      </w:r>
    </w:p>
    <w:p>
      <w:r>
        <w:t>The Competition Chamber has analyzed the concentration file processed in accordance with Law 15/2007, of July 3, on the Defense of Competition, consisting of the acquisition by GRUPPO MUTUIONLINE SPA (GMOL) of exclusive control of RASTREATOR LTD (including its Spanish subsidiary) and PREMINEM LTD (and its subsidiaries), owned by ZPG and PENGUIN PORTALS. In accordance with the report and proposal submitted by the Directorate of Competition, the Competition Chamber has resolved, applying Article 57.2.a) of the aforementioned Law 15/2007, of July 3, to authorize the said concentration operation.</w:t>
      </w:r>
    </w:p>
    <w:p>
      <w:r>
        <w:t>Likewise, it is appropriate to analyze the operation taking into account the Communication from the European Commission on restrictions directly linked to the execution of a concentration and necessary for that purpose (2005/C 56/03); this Chamber considers that, in the present case, regarding the transitional service contract from INSPOP to the acquirer and the reverse transitional service contract from INSPOP to the sellers, which the parties intend to sign, as these are pending final drafting and signature, this Chamber does not currently have sufficient information to assess their ancillary nature, remaining subject to the regulations on agreements between companies in all that exceeds, both in content and duration.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