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https://www.cnmc.es/expedientes/c134722</w:t>
      </w:r>
    </w:p>
    <w:p>
      <w:r>
        <w:t>Pages translated : 2</w:t>
      </w:r>
    </w:p>
    <w:p/>
    <w:p>
      <w:r>
        <w:rPr>
          <w:b/>
        </w:rPr>
        <w:t>[Pages 1–2]</w:t>
      </w:r>
    </w:p>
    <w:p>
      <w:r>
        <w:t xml:space="preserve">C/1347/22  </w:t>
        <w:br/>
        <w:t xml:space="preserve">COCHLEAR / OTICON MEDICAL  </w:t>
        <w:br/>
        <w:t xml:space="preserve">RESOLUTION  </w:t>
        <w:br/>
        <w:t xml:space="preserve">FILE COCHLEAR / OTICON MEDICAL  </w:t>
        <w:br/>
        <w:t xml:space="preserve">(C/1347/22)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Ms. María Jesús Martín Martínez</w:t>
      </w:r>
    </w:p>
    <w:p>
      <w:r>
        <w:t xml:space="preserve">Secretary of the Council  </w:t>
        <w:br/>
        <w:t>Mr. Miguel Bordiu Garcia-Ovies</w:t>
      </w:r>
    </w:p>
    <w:p>
      <w:r>
        <w:t>In Barcelona, on December 14, 2022</w:t>
      </w:r>
    </w:p>
    <w:p>
      <w:r>
        <w:t>The Competition Chamber has analyzed the merger file processed in accordance with Law 15/2007, of July 3, on the Defense of Competition, consisting of the acquisition by Cochlear Limited (hereinafter, COCHLEAR) of the hearing implants division of Demant A/S (hereinafter, DEMANT) which currently operates under the brand Oticon Medical (hereinafter, OM).</w:t>
      </w:r>
    </w:p>
    <w:p>
      <w:r>
        <w:t>In view of the decision adopted by the European Commission on December 6, 2022, regarding the request submitted by the National Commission of Markets and Competition on October 26, 2022, accepting the referral of the merger to the European Commission pursuant to Article 22.3 of Regulation (EC) 139/2004 of the Council, of January 20, 2004, on the control of concentrations between companies, and in accordance with the report and proposal submitted by the Directorate of Competition, the Competition Chamber has resolved, pursuant to Article 57.2.d) of the aforementioned Law 15/2007, of July 3, to archive the aforementioned merger operation.</w:t>
      </w:r>
    </w:p>
    <w:p>
      <w:r>
        <w:t xml:space="preserve">National Commission of Markets and Competition 1 of 2  </w:t>
        <w:br/>
        <w:t xml:space="preserve">C/ Alcalá, 47 – 28014 Madrid - C/ Bolivia, 56 – 08018 Barcelona  </w:t>
        <w:br/>
        <w:t>www.cnmc.es</w:t>
      </w:r>
    </w:p>
    <w:p>
      <w:r>
        <w:t xml:space="preserve">C/1347/22  </w:t>
        <w:br/>
        <w:t xml:space="preserve">COCHLEAR / OTICON MEDICAL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