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https://www.cnmc.es/expedientes/c134922</w:t>
      </w:r>
    </w:p>
    <w:p>
      <w:r>
        <w:t>Pages translated : 2</w:t>
      </w:r>
    </w:p>
    <w:p/>
    <w:p>
      <w:r>
        <w:rPr>
          <w:b/>
        </w:rPr>
        <w:t>[Pages 1–2]</w:t>
      </w:r>
    </w:p>
    <w:p>
      <w:r>
        <w:t xml:space="preserve">C/1349/22  </w:t>
        <w:br/>
        <w:t xml:space="preserve">PGGM / RESA  </w:t>
        <w:br/>
        <w:t xml:space="preserve">RESOLUTION  </w:t>
        <w:br/>
        <w:t xml:space="preserve">FILE PGGM / RESA  </w:t>
        <w:br/>
        <w:t xml:space="preserve">(C/1349/22)  </w:t>
        <w:br/>
        <w:t>COUNCIL. COMPETITION CHAMBER</w:t>
      </w:r>
    </w:p>
    <w:p>
      <w:r>
        <w:t xml:space="preserve">President  </w:t>
        <w:br/>
        <w:t>Ms. Cani Fernández Vicién</w:t>
      </w:r>
    </w:p>
    <w:p>
      <w:r>
        <w:t xml:space="preserve">Counselors  </w:t>
        <w:br/>
        <w:t xml:space="preserve">Ms. María Pilar Canedo Arrillaga  </w:t>
        <w:br/>
        <w:t xml:space="preserve">Mr. Carlos Aguilar Paredes  </w:t>
        <w:br/>
        <w:t xml:space="preserve">Mr. Josep Maria Salas Prat  </w:t>
        <w:br/>
        <w:t>Ms. María Jesús Martín Martínez</w:t>
      </w:r>
    </w:p>
    <w:p>
      <w:r>
        <w:t xml:space="preserve">Secretary of the Council  </w:t>
        <w:br/>
        <w:t>Mr. Miguel Bordiu Garcia-Ovies</w:t>
      </w:r>
    </w:p>
    <w:p>
      <w:r>
        <w:t>In Barcelona, on November 23, 2022</w:t>
      </w:r>
    </w:p>
    <w:p>
      <w:r>
        <w:t>The Competition Chamber has analyzed the concentration file processed in accordance with Law 15/2007, of July 3, on the Defense of Competition, consisting of the acquisition of indirect control by PGGM Vermogensbeheer B.V (“PGGM”) over Residencias de Estudiantes, S.L.U. (RESA), Siresa Campus S.L.U., and Siresa House 2 Campus S.L.U. (Siresa Companies). In accordance with the report and proposal submitted by the Directorate of Competition, the Competition Chamber has resolved, applying Article 57.2.a) of the aforementioned Law 15/2007, of July 3, to authorize the said concentration operation.</w:t>
      </w:r>
    </w:p>
    <w:p>
      <w:r>
        <w:t>Likewise, it is appropriate to analyze the operation taking into account the Communication from the European Commission on restrictions directly linked to the execution of a concentration and necessary for that purpose (2005/C 56/03); this Chamber considers that, in the present case, the temporal scope of the confidentiality clause, which exceeds two years, goes beyond what is reasonably required by the notified concentration operation and should not be considered necessary or ancillary, thus remaining subject to the general regulations applicable to agreements between companies. All of this in accordance with what is indicated in the aforementioned report proposal from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