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Spanish</w:t>
      </w:r>
    </w:p>
    <w:p>
      <w:r>
        <w:t>Source URL       : https://www.cnmc.es/expedientes/c135022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C/1350/22  </w:t>
        <w:br/>
        <w:t xml:space="preserve">RECOLETAS / COSAGA / POLICLINICO GALICIA / SCANNER  </w:t>
        <w:br/>
        <w:t xml:space="preserve">ORENSE/ CENDISA / EL CARMEN  </w:t>
        <w:br/>
        <w:t xml:space="preserve">RESOLUTION  </w:t>
        <w:br/>
        <w:t xml:space="preserve">FILE RECOLETAS / COSAGA / POLICLINICO GALICIA /  </w:t>
        <w:br/>
        <w:t xml:space="preserve">SCANNER ORENSE/ CENDISA / EL CARMEN  </w:t>
        <w:br/>
        <w:t xml:space="preserve">(C/1350/22)  </w:t>
        <w:br/>
        <w:t xml:space="preserve">COUNCIL. COMPETITION CHAMBER  </w:t>
        <w:br/>
        <w:t xml:space="preserve">President  </w:t>
        <w:br/>
        <w:t xml:space="preserve">Ms. Cani Fernández Vicién  </w:t>
        <w:br/>
        <w:t xml:space="preserve">Councilors  </w:t>
        <w:br/>
        <w:t xml:space="preserve">Mr. Carlos Aguilar Paredes  </w:t>
        <w:br/>
        <w:t xml:space="preserve">Ms. María Jesús Martín Martínez  </w:t>
        <w:br/>
        <w:t xml:space="preserve">Mr. Bernardo Lorenzo Almendros  </w:t>
        <w:br/>
        <w:t xml:space="preserve">Secretary of the Council  </w:t>
        <w:br/>
        <w:t xml:space="preserve">Mr. Miguel Bordiu Garcia-Ovies  </w:t>
        <w:br/>
        <w:t xml:space="preserve">In Barcelona, on January 25, 2023  </w:t>
        <w:br/>
        <w:t xml:space="preserve">The Competition Chamber has analyzed the concentration file processed  </w:t>
        <w:br/>
        <w:t xml:space="preserve">in accordance with Law 15/2007, of July 3, on the Defense of Competition,  </w:t>
        <w:br/>
        <w:t xml:space="preserve">consisting of the acquisition of exclusive control by GRUPO  </w:t>
        <w:br/>
        <w:t xml:space="preserve">HOSPITALARIO RECOLETAS, S.L.U. (“RECOLETAS”) of the following companies:  </w:t>
        <w:br/>
        <w:t xml:space="preserve">• HOSPITALES COSAGA S.L. (“COSAGA”), with the acquisition of  </w:t>
        <w:br/>
        <w:t xml:space="preserve">[CONFIDENTIAL]% of its shares.  </w:t>
        <w:br/>
        <w:t xml:space="preserve">• SCANNER ORENSE S.L. (“SCANNER ORENSE”), with the acquisition  </w:t>
        <w:br/>
        <w:t xml:space="preserve">of [CONFIDENTIAL]% of its shares.  </w:t>
        <w:br/>
        <w:t xml:space="preserve">• POLICLÍNICO GALICIA S.L. (“POLICLÍNICO GALICIA”), with  </w:t>
        <w:br/>
        <w:t xml:space="preserve">the acquisition of [CONFIDENTIAL]% of its shares.  </w:t>
        <w:br/>
        <w:t xml:space="preserve">• CENTRO DE DIAGNÓSTICO S.A. (“CENDISA”), acquiring  </w:t>
        <w:br/>
        <w:t xml:space="preserve">[CONFIDENTIAL]% of its shares, and  </w:t>
        <w:br/>
        <w:t xml:space="preserve">• CENTRO MÉDICO EL CARMEN, S.A. (“EL CARMEN”), with  </w:t>
        <w:br/>
        <w:t xml:space="preserve">the acquisition of [CONFIDENTIAL]% of its shares.  </w:t>
        <w:br/>
        <w:t xml:space="preserve">According to the report and proposal submitted by the Directorate of  </w:t>
        <w:br/>
        <w:t xml:space="preserve">Competition, the Competition Chamber has resolved, in application of Article  </w:t>
        <w:br/>
        <w:t xml:space="preserve">57.2.e) and 44.d) of the aforementioned Law 15/2007, of July 3, to agree to  </w:t>
        <w:br/>
        <w:t xml:space="preserve">file the proceedings.  </w:t>
        <w:br/>
        <w:t xml:space="preserve">This Resolution shall be communicated to the Directorate of Competition of the  </w:t>
        <w:br/>
        <w:t xml:space="preserve">National Commission on Markets and Competition and notified to the interested  </w:t>
        <w:br/>
        <w:t xml:space="preserve">party, informing them that it concludes the administrative process and that a  </w:t>
        <w:br/>
        <w:t xml:space="preserve">contentious-administrative appeal may be filed against it before the National  </w:t>
        <w:br/>
        <w:t xml:space="preserve">Court, within two months from the day following its notification.  </w:t>
        <w:br/>
        <w:t xml:space="preserve">National Commission on Markets and Competition 2 of 2  </w:t>
        <w:br/>
        <w:t xml:space="preserve">C/ Alcalá, 47 – 28014 Madrid - C/ Bolivia, 56 – 08018 Barcelona  </w:t>
        <w:br/>
        <w:t>www.cnmc.es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