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https://www.cnmc.es/expedientes/c135222</w:t>
      </w:r>
    </w:p>
    <w:p>
      <w:r>
        <w:t>Pages translated : 2</w:t>
      </w:r>
    </w:p>
    <w:p/>
    <w:p>
      <w:r>
        <w:rPr>
          <w:b/>
        </w:rPr>
        <w:t>[Pages 1–2]</w:t>
      </w:r>
    </w:p>
    <w:p>
      <w:r>
        <w:t xml:space="preserve">C/1352/22  </w:t>
        <w:br/>
        <w:t xml:space="preserve">KORIAN / GRUPO 5  </w:t>
        <w:br/>
        <w:t xml:space="preserve">RESOLUTION  </w:t>
        <w:br/>
        <w:t xml:space="preserve">FILE KORIAN / GRUPO 5  </w:t>
        <w:br/>
        <w:t xml:space="preserve">(C/1352/22)  </w:t>
        <w:br/>
        <w:t xml:space="preserve">COUNCIL. COMPETITION CHAMBER  </w:t>
        <w:br/>
        <w:t xml:space="preserve">President  </w:t>
        <w:br/>
        <w:t xml:space="preserve">Ms. Cani Fernández Vicién  </w:t>
        <w:br/>
        <w:t xml:space="preserve">Counselors  </w:t>
        <w:br/>
        <w:t xml:space="preserve">Ms. María Pilar Canedo Arrillaga  </w:t>
        <w:br/>
        <w:t xml:space="preserve">Mr. Carlos Aguilar Paredes  </w:t>
        <w:br/>
        <w:t xml:space="preserve">Mr. Josep Maria Salas Prat  </w:t>
        <w:br/>
        <w:t xml:space="preserve">Ms. María Jesús Martín Martínez  </w:t>
        <w:br/>
        <w:t xml:space="preserve">Secretary of the Council  </w:t>
        <w:br/>
        <w:t xml:space="preserve">Mr. Miguel Bordiu Garcia-Ovies  </w:t>
        <w:br/>
        <w:t xml:space="preserve">In Madrid, on December 21, 2022  </w:t>
        <w:br/>
        <w:t xml:space="preserve">The Competition Chamber has analyzed the merger file processed in accordance with Law 15/2007, of July 3, on the Defense of Competition, consisting of the acquisition of exclusive control of CCFIV G5 Holding, S.L. (GRUPO 5) by KORIAN, S.E. (KORIAN). In accordance with the report and proposal submitted by the Competition Directorate, the Competition Chamber has resolved, in application of article 57.2.a) of the aforementioned Law 15/2007, of July 3, to authorize the said merger operation.  </w:t>
        <w:br/>
        <w:t xml:space="preserve">Likewise, it is necessary to analyze the operation taking into account the Communication from the European Commission on restrictions directly linked to the execution of a merger and necessary for that purpose (2005/C 56/03); this Chamber considers that, in the present case, the temporal scope of the non-compete clause that exceeds the two years established by the aforementioned Communication, as well as the material scope of said clause, in what applies to the acquisition of shares that do not grant control in competing companies, go beyond what is reasonably required by the notified merger operation.  </w:t>
        <w:br/>
        <w:t xml:space="preserve">The non-compete clause should therefore not be considered necessary or accessory, remaining subject to the general regulations applicable to agreements between companies. All of this is in accordance with what is indicated in the aforementioned report proposal from the Competition Directorate.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