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https://www.cnmc.es/expedientes/c135322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C/1353/22  </w:t>
        <w:br/>
        <w:t xml:space="preserve">TANATORIOS DE CORDOBA / FUNERARIA Y TANATORIOS  </w:t>
        <w:br/>
        <w:t xml:space="preserve">KIKO  </w:t>
        <w:br/>
        <w:t xml:space="preserve">RESOLUTION  </w:t>
        <w:br/>
        <w:t xml:space="preserve">FILE TANATORIOS DE CORDOBA / FUNERARIA Y  </w:t>
        <w:br/>
        <w:t xml:space="preserve">TANATORIOS KIKO  </w:t>
        <w:br/>
        <w:t xml:space="preserve">(C/1353/22)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Pilar Canedo Arrillaga  </w:t>
        <w:br/>
        <w:t xml:space="preserve">Mr. Carlos Aguilar Paredes  </w:t>
        <w:br/>
        <w:t xml:space="preserve">Ms. María Jesús Martín Martínez  </w:t>
        <w:br/>
        <w:t xml:space="preserve">Secretary of the Council  </w:t>
        <w:br/>
        <w:t xml:space="preserve">Mr. Miguel Bordiu Garcia-Ovies  </w:t>
        <w:br/>
        <w:t xml:space="preserve">In Barcelona, on December 14, 2022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of exclusive control by TANATORIOS  </w:t>
        <w:br/>
        <w:t xml:space="preserve">DE CÓRDOBA S.A. (hereinafter, TADECO) of the assets in which  </w:t>
        <w:br/>
        <w:t xml:space="preserve">FUNERARIA Y TANATORIO KIKO S.L. (KIKO) provides funeral services in  </w:t>
        <w:br/>
        <w:t xml:space="preserve">Cabra (Córdoba). In accordance with the report and proposal submitted by the  </w:t>
        <w:br/>
        <w:t xml:space="preserve">Directorate of Competition, the Competition Chamber has resolved, applying  </w:t>
        <w:br/>
        <w:t xml:space="preserve">Article 57.2.a) of the aforementioned Law 15/2007, of July 3, to authorize the  </w:t>
        <w:br/>
        <w:t xml:space="preserve">aforementioned concentration operation.  </w:t>
        <w:br/>
        <w:t xml:space="preserve">Likewise, taking into account the practice of the CNMC and what is established in the  </w:t>
        <w:br/>
        <w:t xml:space="preserve">Communication of the Commission on restrictions directly linked to  </w:t>
        <w:br/>
        <w:t xml:space="preserve">the execution of a concentration and necessary for that purpose (2005/C 56/03); this  </w:t>
        <w:br/>
        <w:t xml:space="preserve">Chamber considers that in the present case, the temporal scope of the non-competition  </w:t>
        <w:br/>
        <w:t xml:space="preserve">clause that exceeds two years goes beyond what, reasonably, is required by the  </w:t>
        <w:br/>
        <w:t xml:space="preserve">notified concentration operation and should not  </w:t>
        <w:br/>
        <w:t xml:space="preserve">Commission Nacional de los Mercados y la Competencia 1 of 2  </w:t>
        <w:br/>
        <w:t xml:space="preserve">C/ Alcalá, 47 – 28014 Madrid - C/ Bolivia, 56 – 08018 Barcelona  </w:t>
        <w:br/>
        <w:t>www.cnmc.es</w:t>
      </w:r>
    </w:p>
    <w:p>
      <w:r>
        <w:t xml:space="preserve">C/1353/22  </w:t>
        <w:br/>
        <w:t xml:space="preserve">TANATORIOS DE CORDOBA / FUNERARIA Y TANATORIOS  </w:t>
        <w:br/>
        <w:t xml:space="preserve">KIKO  </w:t>
        <w:br/>
        <w:t xml:space="preserve">be considered necessary or accessory, thus remaining subject to the general  </w:t>
        <w:br/>
        <w:t xml:space="preserve">regulations applicable to agreements between companies. All of this in accordance with  </w:t>
        <w:br/>
        <w:t xml:space="preserve">what is indicated in the aforementioned report proposal of the Directorate of Competition.  </w:t>
        <w:br/>
        <w:t xml:space="preserve">This Resolution shall be communicated to the Directorate of Competition of the  </w:t>
        <w:br/>
        <w:t xml:space="preserve">National Commission of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may be filed against it before the  </w:t>
        <w:br/>
        <w:t xml:space="preserve">National Court, within two months from the day following its  </w:t>
        <w:br/>
        <w:t xml:space="preserve">notification.  </w:t>
        <w:br/>
        <w:t xml:space="preserve">Commission Nacional de los Mercados y la Competencia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