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https://www.cnmc.es/expedientes/c135522</w:t>
      </w:r>
    </w:p>
    <w:p>
      <w:r>
        <w:t>Pages translated : 1</w:t>
      </w:r>
    </w:p>
    <w:p/>
    <w:p>
      <w:r>
        <w:rPr>
          <w:b/>
        </w:rPr>
        <w:t>[Pages 1–1]</w:t>
      </w:r>
    </w:p>
    <w:p>
      <w:r>
        <w:t xml:space="preserve">C/1355/22  </w:t>
        <w:br/>
        <w:t xml:space="preserve">ICIG / ALKALINE  </w:t>
        <w:br/>
        <w:t xml:space="preserve">RESOLUTION  </w:t>
        <w:br/>
        <w:t xml:space="preserve">FILE ICIG / ALKALINE  </w:t>
        <w:br/>
        <w:t xml:space="preserve">(C/1355/22)  </w:t>
        <w:br/>
        <w:t>COUNCIL. COMPETITION CHAMBER</w:t>
      </w:r>
    </w:p>
    <w:p>
      <w:r>
        <w:t xml:space="preserve">President  </w:t>
        <w:br/>
        <w:t>Ms. Cani Fernández Vicién</w:t>
      </w:r>
    </w:p>
    <w:p>
      <w:r>
        <w:t xml:space="preserve">Councilors  </w:t>
        <w:br/>
        <w:t xml:space="preserve">Ms. María Pilar Canedo Arrillaga  </w:t>
        <w:br/>
        <w:t xml:space="preserve">Mr. Carlos Aguilar Paredes  </w:t>
        <w:br/>
        <w:t>Ms. María Jesús Martín Martínez</w:t>
      </w:r>
    </w:p>
    <w:p>
      <w:r>
        <w:t xml:space="preserve">Secretary of the Council  </w:t>
        <w:br/>
        <w:t>Mr. Miguel Bordiu Garcia-Ovie</w:t>
      </w:r>
    </w:p>
    <w:p>
      <w:r>
        <w:t>In Barcelona, on December 14, 2022</w:t>
      </w:r>
    </w:p>
    <w:p>
      <w:r>
        <w:t>The Competition Chamber has analyzed the merger file processed in accordance with Law 15/2007, of July 3, on the Defense of Competition, consisting of the acquisition by INTERNATIONAL CHEMICAL INVESTORS S.E (hereinafter, ICIG) of exclusive control of ALKALINE S.A.S, and its subsidiaries including MSSA S.A.S., (hereinafter, ALKALINE) controlled by Nippon Soda Co (the seller). In accordance with the report and the proposal submitted by the Directorate of Competition, the Competition Chamber has resolved, applying Article 57.2.a) of the aforementioned Law 15/2007, of July 3, to authorize the aforementioned merger operation.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