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https://www.cnmc.es/expedientes/c135722</w:t>
      </w:r>
    </w:p>
    <w:p>
      <w:r>
        <w:t>Pages translated : 1</w:t>
      </w:r>
    </w:p>
    <w:p/>
    <w:p>
      <w:r>
        <w:rPr>
          <w:b/>
        </w:rPr>
        <w:t>[Pages 1–1]</w:t>
      </w:r>
    </w:p>
    <w:p>
      <w:r>
        <w:t xml:space="preserve">C/1357/22  </w:t>
        <w:br/>
        <w:t xml:space="preserve">ESPECARITA / KIDS HOLDING  </w:t>
        <w:br/>
        <w:t xml:space="preserve">RESOLUTION  </w:t>
        <w:br/>
        <w:t xml:space="preserve">FILE ESPECARITA / KIDS HOLDING  </w:t>
        <w:br/>
        <w:t xml:space="preserve">(C/1357/22)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December 21, 2022</w:t>
      </w:r>
    </w:p>
    <w:p>
      <w:r>
        <w:t>The Competition Chamber has analyzed the concentration file processed in accordance with Law 15/2007, of July 3, on the Defense of Competition, consisting of the joint control acquisition by ESPECARITA XXI, S.L.U (hereinafter, ESPECARITA) and its parent company, CCP Nº4.2. Limited (hereinafter CCP), CORPFIN CAPITAL FUND V FCR (CCFV), De Nadal a Sant Esteve, S.L. (DNASE), over CCFIV KIDS HOLDING, S.L. and its dependent companies (KIDS HOLDING). In accordance with the report and proposal submitted by the Competition Directorate, the Competition Chamber has resolved, under the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