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https://www.cnmc.es/expedientes/c135822</w:t>
      </w:r>
    </w:p>
    <w:p>
      <w:r>
        <w:t>Pages translated : 1</w:t>
      </w:r>
    </w:p>
    <w:p/>
    <w:p>
      <w:r>
        <w:rPr>
          <w:b/>
        </w:rPr>
        <w:t>[Pages 1–1]</w:t>
      </w:r>
    </w:p>
    <w:p>
      <w:r>
        <w:t xml:space="preserve">C/1358/22  </w:t>
        <w:br/>
        <w:t xml:space="preserve">TERMA / EGSE BUSINESS UNIT OF ATOS  </w:t>
        <w:br/>
        <w:t xml:space="preserve">RESOLUTION  </w:t>
        <w:br/>
        <w:t xml:space="preserve">FILE TERMA / EGSE BUSINESS UNIT OF ATOS  </w:t>
        <w:br/>
        <w:t xml:space="preserve">(C/1358/22)  </w:t>
        <w:br/>
        <w:t>COUNCIL. COMPETITION CHAMBER</w:t>
      </w:r>
    </w:p>
    <w:p>
      <w:r>
        <w:t xml:space="preserve">President  </w:t>
        <w:br/>
        <w:t>Ms. Cani Fernández Vicién</w:t>
      </w:r>
    </w:p>
    <w:p>
      <w:r>
        <w:t xml:space="preserve">Councilors  </w:t>
        <w:br/>
        <w:t xml:space="preserve">Ms. María Pilar Canedo Arrillaga  </w:t>
        <w:br/>
        <w:t xml:space="preserve">Mr. Carlos Aguilar Paredes  </w:t>
        <w:br/>
        <w:t xml:space="preserve">Mr. Josep Maria Salas Prat  </w:t>
        <w:br/>
        <w:t>Ms. María Jesús Martín Martínez</w:t>
      </w:r>
    </w:p>
    <w:p>
      <w:r>
        <w:t xml:space="preserve">Secretary of the Council  </w:t>
        <w:br/>
        <w:t>Mr. Miguel Bordiu Garcia-Ovies</w:t>
      </w:r>
    </w:p>
    <w:p>
      <w:r>
        <w:t>In Madrid, on December 21, 2022</w:t>
      </w:r>
    </w:p>
    <w:p>
      <w:r>
        <w:t>The Competition Chamber has analyzed the merger file processed in accordance with Law 15/2007, of July 3, on the Defense of Competition, consisting of the acquisition by Terma A/S (hereinafter, TERMA) of the business unit of ground support electrical equipment (hereinafter, EGSE BUSINESS UNIT) of the ATOS Group (hereinafter, ATOS), through the transfer of assets. In accordance with the report and proposal submitted by the Competition Directorate, the Competition Chamber has resolved, under the application of Article 57.2.a) of the aforementioned Law 15/2007, of July 3, to authorize the aforementioned merger operation.</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