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https://www.cnmc.es/expedientes/c136022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C/1360/22  </w:t>
        <w:br/>
        <w:t xml:space="preserve">CMA CGM / APM / PUERTO SECO AZUQUECA  </w:t>
        <w:br/>
        <w:t xml:space="preserve">RESOLUTION  </w:t>
        <w:br/>
        <w:t xml:space="preserve">FILE CMA CGM / APB / PUERTO SECO AZUQUECA  </w:t>
        <w:br/>
        <w:t xml:space="preserve">(C/1360/22)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Councilors  </w:t>
        <w:br/>
        <w:t xml:space="preserve">Mr. Carlos Aguilar Paredes  </w:t>
        <w:br/>
        <w:t xml:space="preserve">Mr. Josep Maria Salas Prat  </w:t>
        <w:br/>
        <w:t xml:space="preserve">Ms. María Jesús Martín Martínez  </w:t>
        <w:br/>
        <w:t xml:space="preserve">Mr. Bernardo Lorenzo Almendros  </w:t>
        <w:br/>
        <w:t xml:space="preserve">Secretary of the Council  </w:t>
        <w:br/>
        <w:t xml:space="preserve">Mr. Miguel Bordiu Garcia-Ovies  </w:t>
        <w:br/>
        <w:t xml:space="preserve">In Madrid, on January 18, 2023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joint control acquisition of Puerto Seco Azuqueca de  </w:t>
        <w:br/>
        <w:t xml:space="preserve">Henares S.A. by the Port Authority of Barcelona (APB) and CMA  </w:t>
        <w:br/>
        <w:t xml:space="preserve">CGM Inland Services SAS, a company ultimately controlled by CMA  </w:t>
        <w:br/>
        <w:t xml:space="preserve">CGM S.A. Specifically, CMA CGM Inland Services SAS acquires the  </w:t>
        <w:br/>
        <w:t xml:space="preserve">stake of Desarrollos Logísticos Intermodales XXI, S.L. in Puerto Seco  </w:t>
        <w:br/>
        <w:t xml:space="preserve">Azuqueca de Henares S.A. and substitutes its position within an existing  </w:t>
        <w:br/>
        <w:t xml:space="preserve">shareholders' agreement with the APB. According to the report and the proposal  </w:t>
        <w:br/>
        <w:t xml:space="preserve">submitted by the Competition Directorate, the Competition Chamber has resolved,  </w:t>
        <w:br/>
        <w:t xml:space="preserve">in application of Article 57.2.a) of the aforementioned Law 15/2007, of July 3,  </w:t>
        <w:br/>
        <w:t xml:space="preserve">to authorize the aforementioned concentration operation.  </w:t>
        <w:br/>
        <w:t xml:space="preserve">National Commission on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C/1360/22  </w:t>
        <w:br/>
        <w:t xml:space="preserve">CMA CGM / APM / PUERTO SECO AZUQUECA  </w:t>
        <w:br/>
        <w:t xml:space="preserve">This Resolution shall be communicated to the Competition Directorate of the  </w:t>
        <w:br/>
        <w:t xml:space="preserve">National Commission on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 </w:t>
        <w:br/>
        <w:t xml:space="preserve">National Court, within two months from the day following its notification.  </w:t>
        <w:br/>
        <w:t xml:space="preserve">National Commission on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