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https://www.cnmc.es/expedientes/c136222</w:t>
      </w:r>
    </w:p>
    <w:p>
      <w:r>
        <w:t>Pages translated : 2</w:t>
      </w:r>
    </w:p>
    <w:p/>
    <w:p>
      <w:r>
        <w:rPr>
          <w:b/>
        </w:rPr>
        <w:t>[Pages 1–2]</w:t>
      </w:r>
    </w:p>
    <w:p>
      <w:r>
        <w:t>C/1362/22 SCA / IMQ RESOLUTION FILE SCA / IMQ (C/1362/22) COUNCIL. COMPETITION CHAMBER President Ms. Cani Fernández Vicién Councilors Mr. Carlos Aguilar Paredes Mr. Josep María Salas Prat Ms. María Jesús Martín Martínez Mr. Bernardo Lorenzo Almendros Secretary of the Council Mr. Miguel Bordiu Garcia-Ovies In Madrid, on February 8, 2023 The Competition Chamber has analyzed the merger file processed in accordance with Law 15/2007, of July 3, on the Defense of Competition, consisting of the acquisition of exclusive control by SEGURCAIXA ADESLAS, S.A. (hereinafter "SCA") over two companies: IGUALATORIO MÉDICO QUIRÚRGICO, S.A. DE SEGUROS Y REASEGUROS (hereinafter "IMQ SEGUROS") and, eventually, the company IGUALQUEMISA S.A. (hereinafter "GRUPO IMQ"). In accordance with the report and proposal submitted by the Directorate of Competition, the Competition Chamber has resolved, applying Article 57.2.a) of the aforementioned Law 15/2007, of July 3, to authorize the aforementioned merger operation. However, the authorization of the two acquisitions as a single operation will be subject to the fulfillment of the conditions set forth in Section 48 of the Consolidated Communication of the Commission on jurisdictional issues in competition matters, made in accordance with Council Regulation (EC) No. 139/2004 on the control of concentrations between companies (2008/C 95/01), OJ C 95/1 of 16/4/2008. Likewise, taking into account the practice of the CNMC and what is established in the Commission's Communication on restrictions directly linked to the execution of a concentration and necessary for that purpose (2005/C 56/03); this Chamber considers that in the present case: • the material scope of the confidentiality clause, regarding the obligation of compliance by the purchasing party and • the temporal scope of the confidentiality clause, in what exceeds the two years established by the communication, go beyond what, reasonably, is required by the notified merger operation and should not be considered necessary or accessory, thus remaining subject to the general regulations applicable to agreements between companies. All of this in accordance with what is indicated in the aforementioned report proposal of the Directorate of Competition.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