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https://www.cnmc.es/expedientes/c136323</w:t>
      </w:r>
    </w:p>
    <w:p>
      <w:r>
        <w:t>Pages translated : 2</w:t>
      </w:r>
    </w:p>
    <w:p/>
    <w:p>
      <w:r>
        <w:rPr>
          <w:b/>
        </w:rPr>
        <w:t>[Pages 1–2]</w:t>
      </w:r>
    </w:p>
    <w:p>
      <w:r>
        <w:t xml:space="preserve">C/1363/23  </w:t>
        <w:br/>
        <w:t xml:space="preserve">ALCAMPO / ACTIVOS DIA  </w:t>
        <w:br/>
        <w:t xml:space="preserve">RESOLUTION  </w:t>
        <w:br/>
        <w:t xml:space="preserve">FILE ALCAMPO / ACTIVOS DIA  </w:t>
        <w:br/>
        <w:t xml:space="preserve">(C/1363/23)  </w:t>
        <w:br/>
        <w:t>COUNCIL. COMPETITION CHAMBER</w:t>
      </w:r>
    </w:p>
    <w:p>
      <w:r>
        <w:t xml:space="preserve">President  </w:t>
        <w:br/>
        <w:t>Ms. Cani Fernández Vicién</w:t>
      </w:r>
    </w:p>
    <w:p>
      <w:r>
        <w:t xml:space="preserve">Councilors  </w:t>
        <w:br/>
        <w:t xml:space="preserve">Mr. Carlos Aguilar Paredes  </w:t>
        <w:br/>
        <w:t xml:space="preserve">Mr. Josep María Salas Prat  </w:t>
        <w:br/>
        <w:t xml:space="preserve">Ms. María Jesús Martín Martínez  </w:t>
        <w:br/>
        <w:t>Mr. Bernardo Lorenzo Almendros</w:t>
      </w:r>
    </w:p>
    <w:p>
      <w:r>
        <w:t xml:space="preserve">Secretary of the Council  </w:t>
        <w:br/>
        <w:t>Mr. Miguel Bordiu Garcia-Ovies</w:t>
      </w:r>
    </w:p>
    <w:p>
      <w:r>
        <w:t>In Barcelona, on March 1, 2023</w:t>
      </w:r>
    </w:p>
    <w:p>
      <w:r>
        <w:t>The Competition Chamber has analyzed the concentration file processed in accordance with Law 15/2007, of July 3, on the Defense of Competition, consisting of the exclusive control by ALCAMPO, S.A. (ALCAMPO) over certain retail distribution establishments (ACTIVOS DIA), as well as the logistics platform activity of two warehouses located in Villanubla (Valladolid) to DISTRIBUIDORA INTERNACIONAL DE ALIMENTACIÓN, S.A. (DIA), DIA RETAIL S.A.U. (DIA RETAIL) and GRUPO EL ÁRBOL DISTRIBUCIÓN Y SUPERMERCADOS, S.A.U. (GRUPO EL ÁRBOL) (jointly, GRUPO DIA). In accordance with the report and proposal submitted by the Directorate of Competition, the Competition Chamber has resolved, under the application of Article 57.2.b) of the aforementioned Law 15/2007, of July 3, to authorize the aforementioned concentration operation subject to the fulfillment of the commitments presented by the notifier on February 23, 2023.</w:t>
      </w:r>
    </w:p>
    <w:p>
      <w:r>
        <w:t xml:space="preserve">National Commission of Markets and Competition 1 of 2  </w:t>
        <w:br/>
        <w:t xml:space="preserve">C/ Alcalá, 47 – 28014 Madrid - C/ Bolivia, 56 – 08018 Barcelona  </w:t>
        <w:br/>
        <w:t>www.cnmc.es</w:t>
      </w:r>
    </w:p>
    <w:p>
      <w:r>
        <w:t xml:space="preserve">C/1363/23  </w:t>
        <w:br/>
        <w:t>ALCAMPO / ACTIVOS DIA</w:t>
      </w:r>
    </w:p>
    <w:p>
      <w:r>
        <w:t>Likewise, taking into account the practice of the CNMC and what is established in the Commission Communication on restrictions directly linked to the execution of a concentration and necessary for that purpose (2005/C 56/03); this Chamber considers that the material scope of the non-solicitation clause regarding the purchasing party exceeds what is stated in the aforementioned Communication, since it cannot be deduced that its purpose is to guarantee the transfer to the buyer of the full value of the transferred assets. This would therefore go beyond what is reasonably required by the notified concentration operation and should not be considered either necessary or ancillary, thus remaining subject to the general regulations applicable to agreements between companies. All of this in accordance with what is indicated in the aforementioned report proposal from the Directorate of Competition.</w:t>
      </w:r>
    </w:p>
    <w:p>
      <w:r>
        <w:t>This Resolution shall be communicated to the Directorate of Competition of the National Commission of Markets and Competition and notified to the interested party, informing them that it concludes the administrative process and that a contentious-administrative appeal may be filed against it before the National Court, within two months from the day following its notification.</w:t>
      </w:r>
    </w:p>
    <w:p>
      <w:r>
        <w:t xml:space="preserve">National Commission of Markets and Competition 2 of 2  </w:t>
        <w:br/>
        <w:t xml:space="preserve">C/ Alcalá, 47 – 28014 Madrid - C/ Bolivia, 56 – 08018 Barcelona  </w:t>
        <w:br/>
        <w:t>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