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https://www.cnmc.es/expedientes/c136423</w:t>
      </w:r>
    </w:p>
    <w:p>
      <w:r>
        <w:t>Pages translated : 2</w:t>
      </w:r>
    </w:p>
    <w:p/>
    <w:p>
      <w:r>
        <w:rPr>
          <w:b/>
        </w:rPr>
        <w:t>[Pages 1–2]</w:t>
      </w:r>
    </w:p>
    <w:p>
      <w:r>
        <w:t xml:space="preserve">C/1364/23  </w:t>
        <w:br/>
        <w:t xml:space="preserve">NEWCO / SERVEO – IRIS GLOBAL  </w:t>
        <w:br/>
        <w:t xml:space="preserve">RESOLUTION  </w:t>
        <w:br/>
        <w:t xml:space="preserve">FILE NEWCO / SERVEO – IRIS GLOBAL  </w:t>
        <w:br/>
        <w:t xml:space="preserve">(C/1364/23)  </w:t>
        <w:br/>
        <w:t>COUNCIL. COMPETITION CHAMBER</w:t>
      </w:r>
    </w:p>
    <w:p>
      <w:r>
        <w:t xml:space="preserve">President  </w:t>
        <w:br/>
        <w:t>Ms. Cani Fernández Vicién</w:t>
      </w:r>
    </w:p>
    <w:p>
      <w:r>
        <w:t xml:space="preserve">Counselors  </w:t>
        <w:br/>
        <w:t xml:space="preserve">Mr. Carlos Aguilar Paredes  </w:t>
        <w:br/>
        <w:t xml:space="preserve">Mr. Josep María Salas Prat  </w:t>
        <w:br/>
        <w:t xml:space="preserve">Ms. María Jesús Martín Martínez  </w:t>
        <w:br/>
        <w:t>Mr. Bernardo Lorenzo Almendros</w:t>
      </w:r>
    </w:p>
    <w:p>
      <w:r>
        <w:t xml:space="preserve">Secretary of the Council  </w:t>
        <w:br/>
        <w:t>Mr. Miguel Bordiu Garcia-Ovies</w:t>
      </w:r>
    </w:p>
    <w:p>
      <w:r>
        <w:t>In Madrid, on February 15, 2023</w:t>
      </w:r>
    </w:p>
    <w:p>
      <w:r>
        <w:t>The Competition Chamber has analyzed the concentration file processed in accordance with Law 15/2007, of July 3, on the Defense of Competition, consisting of the creation of a joint venture (NewCo) by Serveo Servicios, S.A.U. (“SERVEO”) and Iris Global Soluciones, S.L.U. (IRIS GLOBAL). In accordance with the report and proposal submitted by the Competition Directorate, the Competition Chamber has resolved, applying Article 57.2.a) of the aforementioned Law 15/2007, of July 3, to authorize the said concentration operation.</w:t>
      </w:r>
    </w:p>
    <w:p>
      <w:r>
        <w:t>Likewise, taking into account the practice of the CNMC and what is established in the Commission Communication on restrictions directly linked to the execution of a concentration and necessary for that purpose (2005/C 56/03); this Chamber considers that regarding the Investment Agreements and partner contracts that the parties intend to sign, as long as these are pending final drafting and signature, there is currently insufficient information to assess their ancillary nature, remaining subject to the National Commission of Markets and Competition regulations on agreements between companies in all that exceeds, both in their content and in their duration. All of this in accordance with what is indicated in the aforementioned report proposal from the Competition Directorate.</w:t>
      </w:r>
    </w:p>
    <w:p>
      <w: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