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https://www.cnmc.es/expedientes/c136523</w:t>
      </w:r>
    </w:p>
    <w:p>
      <w:r>
        <w:t>Pages translated : 2</w:t>
      </w:r>
    </w:p>
    <w:p/>
    <w:p>
      <w:r>
        <w:rPr>
          <w:b/>
        </w:rPr>
        <w:t>[Pages 1–2]</w:t>
      </w:r>
    </w:p>
    <w:p>
      <w:r>
        <w:t xml:space="preserve">C/1365/23  </w:t>
        <w:br/>
        <w:t xml:space="preserve">FREMMAN/BOLLO  </w:t>
        <w:br/>
        <w:t xml:space="preserve">RESOLUTION  </w:t>
        <w:br/>
        <w:t xml:space="preserve">FILE FREMMAN / BOLLO  </w:t>
        <w:br/>
        <w:t xml:space="preserve">(C/1365/23)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February 21, 2023</w:t>
      </w:r>
    </w:p>
    <w:p>
      <w:r>
        <w:t>The Competition Chamber has analyzed the concentration file processed in accordance with Law 15/2007, of July 3, on the Defense of Competition, consisting of the acquisition by FREMMAN 1 GP LUXEMBOURG, S.À.R.L. (FREMMAN), through Global Agro Investment, S.L. (GLOBAL AGRO) of exclusive control over a series of companies that form the BOLLO group,1 through the acquisition of shares representing 100% of its share capital. Additionally, FREMMAN, as a consequence of the acquisition of 100% of Bollo International Fruits, S.L. (BIF), will indirectly acquire participation in certain companies2 currently held by Naranjas Bollo, S.L., as well as a series of assets and workers dedicated to the fruit production activities of the BOLLO group. According to the report and proposal submitted by the Competition Directorate, the Competition Chamber has resolved, in application of Article 57.2.a) of the aforementioned Law 15/2007, of July 3, to authorize the aforementioned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regarding the content of the non-compete clause, any limitation on the acquisition or holding of shares in a competing company for exclusively financial investment purposes, which does not confer directly or indirectly management functions or substantial influence in it, will not be considered an ancillary and necessary restriction for the operation, thus remaining subject to the regulations on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