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https://www.cnmc.es/expedientes/c136723</w:t>
      </w:r>
    </w:p>
    <w:p>
      <w:r>
        <w:t>Pages translated : 2</w:t>
      </w:r>
    </w:p>
    <w:p/>
    <w:p>
      <w:r>
        <w:rPr>
          <w:b/>
        </w:rPr>
        <w:t>[Pages 1–2]</w:t>
      </w:r>
    </w:p>
    <w:p>
      <w:r>
        <w:t>C/1367/23 SAREB / FAB RESOLUTION FILE SAREB / FAB (C/1367/23) COUNCIL. COMPETITION CHAMBER President Ms. Cani Fernández Vicién Councilors Mr. Carlos Aguilar Paredes Mr. Josep María Salas Prat Ms. María Jesús Martín Martínez Mr. Bernardo Lorenzo Almendros Secretary of the Council Mr. Miguel Bordiu Garcia-Ovies In Madrid, on February 21, 2023 The Competition Chamber has analyzed the concentration file processed in accordance with Law 15/2007, of July 3, on the Defense of Competition, consisting of the acquisition by the Asset Management Company from Bank Restructuring, S.A (SAREB) of exclusive control of the Bank Asset Fund (FAB), currently jointly controlled with VÄRDE Partners, Inc. (VÄRDE)1. According to the report and the proposal submitted by the Directorate of Competition, the Competition Chamber has resolved, in application of Article 57.2.a) of the aforementioned Law 15/2007, of July 3, to authorize the aforementioned concentration operation. This Resolution shall be communicated to the Directorate of Competition of the National Commission on Markets and Competition and notified to the interested party, 1 It implies a return to the situation prior to the joint control acquisition by VÄRDE in the FAB, an operation authorized by the CNMC in February 2020 (C/1091/20 SAREB/VÄRDE/FAB) National Commission on Markets and Competition 1 of 2 C/ Alcalá, 47 – 28014 Madrid - C/ Bolivia, 56 – 08018 Barcelona www.cnmc.es C/1367/23 SAREB / FAB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