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https://www.cnmc.es/expedientes/c136923</w:t>
      </w:r>
    </w:p>
    <w:p>
      <w:r>
        <w:t>Pages translated : 2</w:t>
      </w:r>
    </w:p>
    <w:p/>
    <w:p>
      <w:r>
        <w:rPr>
          <w:b/>
        </w:rPr>
        <w:t>[Pages 1–2]</w:t>
      </w:r>
    </w:p>
    <w:p>
      <w:r>
        <w:t xml:space="preserve">C/1369/23  </w:t>
        <w:br/>
        <w:t xml:space="preserve">SONEPAR IBERICA / DIGAMEL-DIGAMEL AROUSA  </w:t>
        <w:br/>
        <w:t xml:space="preserve">RESOLUTION  </w:t>
        <w:br/>
        <w:t xml:space="preserve">FILE SONEPAR IBERICA / DIGAMEL-DIGAMEL AROUSA  </w:t>
        <w:br/>
        <w:t xml:space="preserve">(C/1369/23)  </w:t>
        <w:br/>
        <w:t>COUNCIL. COMPETITION CHAMBER</w:t>
      </w:r>
    </w:p>
    <w:p>
      <w:r>
        <w:t xml:space="preserve">President  </w:t>
        <w:br/>
        <w:t>Ms. Cani Fernández Vicién</w:t>
      </w:r>
    </w:p>
    <w:p>
      <w:r>
        <w:t xml:space="preserve">Councilors  </w:t>
        <w:br/>
        <w:t xml:space="preserve">Mr. Carlos Aguilar Paredes  </w:t>
        <w:br/>
        <w:t xml:space="preserve">Mr. Josep María Salas Prat  </w:t>
        <w:br/>
        <w:t xml:space="preserve">Ms. María Jesús Martín Martínez  </w:t>
        <w:br/>
        <w:t>Mr. Bernardo Lorenzo Almendros</w:t>
      </w:r>
    </w:p>
    <w:p>
      <w:r>
        <w:t xml:space="preserve">Secretary of the Council  </w:t>
        <w:br/>
        <w:t>Ms. María Ángeles Rodríguez Paraja</w:t>
      </w:r>
    </w:p>
    <w:p>
      <w:r>
        <w:t>In Barcelona, on April 26, 2023</w:t>
      </w:r>
    </w:p>
    <w:p>
      <w:r>
        <w:t>The Competition Chamber has analyzed the concentration file processed in accordance with Law 15/2007, of July 3, on the Defense of Competition, consisting of the acquisition by Sonepar Ibérica, S.A.U. (SONEPAR), of exclusive control of Digamel, S.A. and Digamel Arousa, S.L.U. (jointly DIGAMEL), through the acquisition of 100% of the shares and social participations of these two companies. In accordance with the report and proposal submitted by the Competition Directorate, the Competition Chamber has resolved, applying Article 57.2.a) of the aforementioned Law 15/2007, of July 3, to authorize the aforementioned concentration operation in the first phase.</w:t>
      </w:r>
    </w:p>
    <w:p>
      <w:r>
        <w:t>Likewise, taking into account the practice of the CNMC and what is established in the Commission Communication on restrictions directly linked to the execution of a concentration and necessary for that purpose (2005/C 56/03); this Chamber does not currently have sufficient information to assess its accessory nature, remaining subject to the regulations on agreements between companies in all that exceeds, both in its content and in its duration, what is established in the Communication. All of this in accordance with what is indicated in the aforementioned report proposal of the Competition Directorate.</w:t>
      </w:r>
    </w:p>
    <w:p>
      <w: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