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https://www.cnmc.es/expedientes/c137023</w:t>
      </w:r>
    </w:p>
    <w:p>
      <w:r>
        <w:t>Pages translated : 2</w:t>
      </w:r>
    </w:p>
    <w:p/>
    <w:p>
      <w:r>
        <w:rPr>
          <w:b/>
        </w:rPr>
        <w:t>[Pages 1–2]</w:t>
      </w:r>
    </w:p>
    <w:p>
      <w:r>
        <w:t xml:space="preserve">C/1370/23  </w:t>
        <w:br/>
        <w:t xml:space="preserve">GRÜNENTHAL/KKI  </w:t>
        <w:br/>
        <w:t xml:space="preserve">RESOLUTION  </w:t>
        <w:br/>
        <w:t xml:space="preserve">FILE GRÜNENTHAL / KKI  </w:t>
        <w:br/>
        <w:t xml:space="preserve">(C/1370/23)  </w:t>
        <w:br/>
        <w:t>COUNCIL. COMPETITION CHAMBER</w:t>
      </w:r>
    </w:p>
    <w:p>
      <w:r>
        <w:t xml:space="preserve">President  </w:t>
        <w:br/>
        <w:t>Ms. Cani Fernández Vicién</w:t>
      </w:r>
    </w:p>
    <w:p>
      <w:r>
        <w:t xml:space="preserve">Councilors  </w:t>
        <w:br/>
        <w:t xml:space="preserve">Mr. Carlos Aguilar Paredes  </w:t>
        <w:br/>
        <w:t xml:space="preserve">Mr. Josep María Salas Prat  </w:t>
        <w:br/>
        <w:t xml:space="preserve">Ms. María Jesús Martín Martínez  </w:t>
        <w:br/>
        <w:t>Mr. Bernardo Lorenzo Almendros</w:t>
      </w:r>
    </w:p>
    <w:p>
      <w:r>
        <w:t xml:space="preserve">Secretary of the Council  </w:t>
        <w:br/>
        <w:t>Mr. Miguel Bordiu Garcia-Ovies</w:t>
      </w:r>
    </w:p>
    <w:p>
      <w:r>
        <w:t>In Madrid, on February 15, 2023</w:t>
      </w:r>
    </w:p>
    <w:p>
      <w:r>
        <w:t xml:space="preserve">The Competition Chamber has analyzed the concentration file processed in accordance with Law 15/2007, of July 3, on the Defense of Competition, consisting of the acquisition by GRÜNENTHAL GmbH (hereinafter, GRT) of a 51% stake and therefore exclusive control of Kyowa Kirin International UK HoldCo Limited (hereinafter, UK HoldCo or TARGET) from its current owner Kyowa Kirin International Plc (hereinafter, KKI)1. According to the report and proposal submitted by the Competition Directorate, the Competition Chamber has resolved, in application of Article 57.2.a) of the aforementioned Law 15/2007, of July 3, to authorize the aforementioned concentration operation.  </w:t>
        <w:br/>
        <w:t>1 100% investment vehicle of KKI, which in turn owns Kyowa Kirin International UK NewCo Limited (UK NewCo), a newly created company that includes the business unit of certain current medicines of KKI and indirectly the subsidiaries of KKI, which are part of the transferred business.</w:t>
      </w:r>
    </w:p>
    <w:p>
      <w:r>
        <w:t xml:space="preserve">National Commission of Markets and Competition 1 of 2  </w:t>
        <w:br/>
        <w:t xml:space="preserve">C/ Alcalá, 47 – 28014 Madrid - C/ Bolivia, 56 – 08018 Barcelona  </w:t>
        <w:br/>
        <w:t>www.cnmc.es</w:t>
      </w:r>
    </w:p>
    <w:p>
      <w:r>
        <w:t xml:space="preserve">C/1370/23  </w:t>
        <w:br/>
        <w:t>GRÜNENTHAL/KKI</w:t>
      </w:r>
    </w:p>
    <w:p>
      <w:r>
        <w:t xml:space="preserve">Likewise, taking into account the practice of the CNMC and what is established in the Commission Communication on restrictions directly linked to the execution of a concentration and necessary for that purpose (2005/C 56/03); this Chamber considers that the duration of the non-competition and confidentiality clauses, in all that exceeds three (3) years, is not necessary and ancillary to the operation, thus remaining subject to the regulations on agreements between companies. All of this in accordance with what is indicated in the aforementioned report proposal of the Competition Directorate.  </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