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https://www.cnmc.es/expedientes/c137123</w:t>
      </w:r>
    </w:p>
    <w:p>
      <w:r>
        <w:t>Pages translated : 2</w:t>
      </w:r>
    </w:p>
    <w:p/>
    <w:p>
      <w:r>
        <w:rPr>
          <w:b/>
        </w:rPr>
        <w:t>[Pages 1–2]</w:t>
      </w:r>
    </w:p>
    <w:p>
      <w:r>
        <w:t xml:space="preserve">C/1371/23  </w:t>
        <w:br/>
        <w:t xml:space="preserve">KME / KMD STOLBERG  </w:t>
        <w:br/>
        <w:t xml:space="preserve">RESOLUTION  </w:t>
        <w:br/>
        <w:t xml:space="preserve">FILE KME / KMD STOLBERG  </w:t>
        <w:br/>
        <w:t xml:space="preserve">(C/1371/23)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February 21, 2023</w:t>
      </w:r>
    </w:p>
    <w:p>
      <w:r>
        <w:t>The Competition Chamber has analyzed the concentration file processed in accordance with Law 15/2007, of July 3, on the Defense of Competition, consisting of the acquisition by KME SE (hereinafter, "KME"), of the shares of Golden Dragon Precise Copper Tube Group Inc. (hereinafter, "GOLDEN DRAGON") and Chongqing Wanzhou Economy Technology Development Co. Ltd. (hereinafter, "CHONGQING WANZHOU") over KMD Connectors Stolberg GmbH (hereinafter, "KMD STOLBERG"), moving from holding joint control over KMD STOLBERG together with said companies,1 to holding 100% of its capital, and therefore, exclusive control. According to the report and proposal submitted by the Competition Directorate, the Competition Chamber has resolved, under Article 57.2.a) of the aforementioned Law 15/2007, of July 3, to authorize the aforementioned concentration operation. 2</w:t>
      </w:r>
    </w:p>
    <w:p>
      <w:r>
        <w:t>Likewise, taking into account the practice of the CNMC and what is established in the Commission Communication on restrictions directly linked to the execution of a concentration and necessary for that purpose (2005/C 56/03); this Chamber does not consider necessary for the execution of the operation nor accessory to it, remaining subject to the regulations on agreements between companies, the duration of the confidentiality clause in all that exceeds two years from the execution of the Operation, since the Notifying Party already held (joint) control over the Target and, therefore, had access to the know-how used by it. 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2 Resolution rectified by Agreement of March 8, 2023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