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https://www.cnmc.es/expedientes/c137223</w:t>
      </w:r>
    </w:p>
    <w:p>
      <w:r>
        <w:t>Pages translated : 1</w:t>
      </w:r>
    </w:p>
    <w:p/>
    <w:p>
      <w:r>
        <w:rPr>
          <w:b/>
        </w:rPr>
        <w:t>[Pages 1–1]</w:t>
      </w:r>
    </w:p>
    <w:p>
      <w:r>
        <w:t xml:space="preserve">C/1372/23  </w:t>
        <w:br/>
        <w:t xml:space="preserve">CHIESI / AMRYT  </w:t>
        <w:br/>
        <w:t xml:space="preserve">RESOLUTION  </w:t>
        <w:br/>
        <w:t xml:space="preserve">FILE CHIESI / AMRYT  </w:t>
        <w:br/>
        <w:t xml:space="preserve">(C/1372/23)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March 8, 2023</w:t>
      </w:r>
    </w:p>
    <w:p>
      <w:r>
        <w:t>The Competition Chamber has analyzed the concentration file processed in accordance with Law 15/2007, of July 3, on the Defense of Competition, consisting of the acquisition of exclusive control by CHIESI FARMACEUTICI, S.p.A (hereinafter, CHIESI) of AMRYT PHARMA (hereinafter, AMRYT).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