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https://www.cnmc.es/expedientes/c137423</w:t>
      </w:r>
    </w:p>
    <w:p>
      <w:r>
        <w:t>Pages translated : 2</w:t>
      </w:r>
    </w:p>
    <w:p/>
    <w:p>
      <w:r>
        <w:rPr>
          <w:b/>
        </w:rPr>
        <w:t>[Pages 1–2]</w:t>
      </w:r>
    </w:p>
    <w:p>
      <w:r>
        <w:t xml:space="preserve">C/1374/23  </w:t>
        <w:br/>
        <w:t xml:space="preserve">SAFRAN/THALES ELS BUSINESS  </w:t>
        <w:br/>
        <w:t xml:space="preserve">RESOLUTION  </w:t>
        <w:br/>
        <w:t xml:space="preserve">FILE SAFRAN / THALES ELS BUSINESS  </w:t>
        <w:br/>
        <w:t xml:space="preserve">(C/1374/23)  </w:t>
        <w:br/>
        <w:t xml:space="preserve">COUNCIL. COMPETITION CHAMBER  </w:t>
        <w:br/>
        <w:t xml:space="preserve">President  </w:t>
        <w:br/>
        <w:t xml:space="preserve">Ms. Cani Fernández Vicién  </w:t>
        <w:br/>
        <w:t xml:space="preserve">Counselors  </w:t>
        <w:br/>
        <w:t xml:space="preserve">Mr. Carlos Aguilar Paredes  </w:t>
        <w:br/>
        <w:t xml:space="preserve">Mr. Josep María Salas Prat  </w:t>
        <w:br/>
        <w:t xml:space="preserve">Ms. María Jesús Martín Martínez  </w:t>
        <w:br/>
        <w:t xml:space="preserve">Mr. Bernardo Lorenzo Almendros  </w:t>
        <w:br/>
        <w:t xml:space="preserve">Secretary of the Council  </w:t>
        <w:br/>
        <w:t xml:space="preserve">Mr. Miguel Bordiu Garcia-Ovies  </w:t>
        <w:br/>
        <w:t xml:space="preserve">In Madrid, on March 8, 2023  </w:t>
        <w:br/>
        <w:t xml:space="preserve">The Competition Chamber has analyzed the concentration file processed  </w:t>
        <w:br/>
        <w:t xml:space="preserve">in accordance with Law 15/2007, of July 3, on the Defense of Competition,  </w:t>
        <w:br/>
        <w:t xml:space="preserve">consisting of the acquisition of exclusive control by Safran Electrical  </w:t>
        <w:br/>
        <w:t xml:space="preserve">&amp; Power, S.A.S. (hereinafter, SAFRAN) of the electrical systems business unit of Thales, S.A. (hereinafter, THALES ELS BUSINESS). In  </w:t>
        <w:br/>
        <w:t xml:space="preserve">accordance with the report and the proposal submitted by the Directorate of Competition,  </w:t>
        <w:br/>
        <w:t xml:space="preserve">the Competition Chamber has resolved, in application of Article 57.2.a) of the  </w:t>
        <w:br/>
        <w:t xml:space="preserve">aforementioned Law 15/2007, of July 3, to authorize the aforementioned concentration operation.  </w:t>
        <w:br/>
        <w:t xml:space="preserve">Likewise, taking into account the practice of the CNMC and what is established in the  </w:t>
        <w:br/>
        <w:t xml:space="preserve">Commission Communication on restrictions directly linked to the execution of a concentration and necessary for that purpose (2005/C 56/03); this  </w:t>
        <w:br/>
        <w:t xml:space="preserve">Chamber considers that they will not be considered accessory or necessary for  </w:t>
        <w:br/>
        <w:t xml:space="preserve">the operation, thus remaining subject to the regulations on agreements between  </w:t>
        <w:br/>
        <w:t xml:space="preserve">companies:  </w:t>
        <w:br/>
        <w:t xml:space="preserve">- The content of the non-compete clause, regarding those geographic and product markets in which the THALES ELS BUSINESS is not active on the date of the operation, even if it plans to be without having made investments for that purpose.  </w:t>
        <w:br/>
        <w:t xml:space="preserve">- The duration of the confidentiality clause that protects the buyer, in all that exceeds 3 years for that sensitive commercial information and technical knowledge related to the transferred assets.  </w:t>
        <w:br/>
        <w:t xml:space="preserve">All of this in accordance with what is indicated in the aforementioned report proposal from the  </w:t>
        <w:br/>
        <w:t xml:space="preserve">Directorate of Competition.  </w:t>
        <w:br/>
        <w:t xml:space="preserve">This Resolution shall be communicated to the Directorate of Competition of the  </w:t>
        <w:br/>
        <w:t xml:space="preserve">National Commission on Markets and Competition and notified to the interested party,  </w:t>
        <w:br/>
        <w:t xml:space="preserve">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