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https://www.cnmc.es/expedientes/c137523</w:t>
      </w:r>
    </w:p>
    <w:p>
      <w:r>
        <w:t>Pages translated : 2</w:t>
      </w:r>
    </w:p>
    <w:p/>
    <w:p>
      <w:r>
        <w:rPr>
          <w:b/>
        </w:rPr>
        <w:t>[Pages 1–2]</w:t>
      </w:r>
    </w:p>
    <w:p>
      <w:r>
        <w:t xml:space="preserve">C/1375/23  </w:t>
        <w:br/>
        <w:t xml:space="preserve">INDRA / SELEX ATM BUSINESS  </w:t>
        <w:br/>
        <w:t xml:space="preserve">RESOLUTION  </w:t>
        <w:br/>
        <w:t xml:space="preserve">FILE INDRA / SELEX ATM BUSINESS  </w:t>
        <w:br/>
        <w:t xml:space="preserve">(C/1375/23)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March 22, 2023</w:t>
      </w:r>
    </w:p>
    <w:p>
      <w:r>
        <w:t>The Competition Chamber has analyzed the concentration file processed in accordance with Law 15/2007, of July 3, on the Defense of Competition, consisting of the acquisition of exclusive control over assets and obligations of the air traffic management business line1 of SELEX ES INC (hereinafter, THE ACQUIRED BUSINESS) by INDRA SISTEMAS S.A (hereinafter, INDRA). According to the report and the proposal submitted by the Competition Directorate, the Competition Chamber has resolved, in application of Article 57.2.a) of the aforementioned Law 15/2007, of July 3, to authorize the aforementioned concentration operation.</w:t>
      </w:r>
    </w:p>
    <w:p>
      <w:r>
        <w:t xml:space="preserve">Likewise, taking into account the practice of the CNMC and what is established in the Commission Communication on restrictions directly linked to the execution of a concentration and necessary for that purpose (2005/C 56/03); this  </w:t>
        <w:br/>
        <w:t xml:space="preserve">1 The operation will only affect the part of SELEX known as ATM (Air Traffic Management)  </w:t>
        <w:br/>
        <w:t xml:space="preserve">National Commission of Markets and Competition 1 of 2  </w:t>
        <w:br/>
        <w:t xml:space="preserve">C/ Alcalá, 47 – 28014 Madrid - C/ Bolivia, 56 – 08018 Barcelona  </w:t>
        <w:br/>
        <w:t>www.cnmc.es</w:t>
      </w:r>
    </w:p>
    <w:p>
      <w:r>
        <w:t xml:space="preserve">C/1375/23  </w:t>
        <w:br/>
        <w:t xml:space="preserve">INDRA / SELEX ATM BUSINESS  </w:t>
        <w:br/>
        <w:t xml:space="preserve">Chamber does not consider necessary or accessory for the operation, remaining, therefore, subject to the regulations on agreements between companies:  </w:t>
        <w:br/>
        <w:t xml:space="preserve">- The non-compete clause, to the extent that it exceeds three (3) years in duration.  </w:t>
        <w:br/>
        <w:t xml:space="preserve">- Any limitation on the holding or acquisition of minority stakes for purely financial investment purposes in companies.  </w:t>
        <w:br/>
        <w:t>All of this in accordance with what is indicated in the aforementioned report proposal of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