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https://www.cnmc.es/expedientes/c137623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C/1376/23  </w:t>
        <w:br/>
        <w:t xml:space="preserve">CMA CGM / BERGE GEFCO  </w:t>
        <w:br/>
        <w:t xml:space="preserve">RESOLUTION  </w:t>
        <w:br/>
        <w:t xml:space="preserve">FILE CMA CGM / BERGE GEFCO  </w:t>
        <w:br/>
        <w:t xml:space="preserve">(C/1376/23)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Mr. Carlos Aguilar Paredes  </w:t>
        <w:br/>
        <w:t xml:space="preserve">Mr. Josep María Salas Prat  </w:t>
        <w:br/>
        <w:t xml:space="preserve">Ms. María Jesús Martín Martínez  </w:t>
        <w:br/>
        <w:t xml:space="preserve">Mr. Bernardo Lorenzo Almendros  </w:t>
        <w:br/>
        <w:t xml:space="preserve">Secretary of the Council  </w:t>
        <w:br/>
        <w:t xml:space="preserve">Mr. Miguel Bordiu Garcia-Ovies  </w:t>
        <w:br/>
        <w:t xml:space="preserve">In Madrid, on April 19, 2023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by the French company  </w:t>
        <w:br/>
        <w:t xml:space="preserve">CMA CGM, S.A. (CMA CGM), through its Spanish subsidiary GEFCO  </w:t>
        <w:br/>
        <w:t xml:space="preserve">ESPAÑA, S.A. (GEFCO ESPAÑA), over the company BERGÉ GEFCO, S.L.  </w:t>
        <w:br/>
        <w:t xml:space="preserve">(BERGÉ GEFCO). Before the operation, BERGÉ GEFCO was jointly controlled  </w:t>
        <w:br/>
        <w:t xml:space="preserve">by GEFCO ESPAÑA (and, ultimately, by CMA CGM) and by BERGÉ INFRAESTRUCTURAS Y SERVICIOS LOGÍSTICOS, S.L.  </w:t>
        <w:br/>
        <w:t xml:space="preserve">(BERGÉ), each holding 50% of the shares1. According to the report and proposal submitted by the Competition Directorate,  </w:t>
        <w:br/>
        <w:t xml:space="preserve">1 See file M.8881 Berge/Gefco/JV (precedent of the Commission).  </w:t>
        <w:br/>
        <w:t xml:space="preserve">National Commission of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C/1376/23  </w:t>
        <w:br/>
        <w:t xml:space="preserve">CMA CGM / BERGE GEFCO  </w:t>
        <w:br/>
        <w:t xml:space="preserve">the Competition Chamber has resolved2, in application of Article 57.2.a) of the  </w:t>
        <w:br/>
        <w:t xml:space="preserve">aforementioned Law 15/2007, of July 3, to authorize the aforementioned concentration operation.  </w:t>
        <w:br/>
        <w:t xml:space="preserve">All of this in accordance with what is indicated in the aforementioned report proposal from the  </w:t>
        <w:br/>
        <w:t xml:space="preserve">Competition Directorate.  </w:t>
        <w:br/>
        <w:t xml:space="preserve">This Resolution shall be communicated to the Competition Directorate of the National Commission of Markets and Competition and notified to the interested party,  </w:t>
        <w:br/>
        <w:t xml:space="preserve">informing them that it concludes the administrative process and that a contentious-administrative appeal may be filed against it before the National Court, within two months from the day following its  </w:t>
        <w:br/>
        <w:t xml:space="preserve">notification.  </w:t>
        <w:br/>
        <w:t xml:space="preserve">2 Resolution rectified by Agreement issued by the Competition Chamber on June 7, 2023.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