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https://www.cnmc.es/expedientes/c137723</w:t>
      </w:r>
    </w:p>
    <w:p>
      <w:r>
        <w:t>Pages translated : 1</w:t>
      </w:r>
    </w:p>
    <w:p/>
    <w:p>
      <w:r>
        <w:rPr>
          <w:b/>
        </w:rPr>
        <w:t>[Pages 1–1]</w:t>
      </w:r>
    </w:p>
    <w:p>
      <w:r>
        <w:t xml:space="preserve">C/1377/23  </w:t>
        <w:br/>
        <w:t xml:space="preserve">ASV FUNESER / TANATORIO LA RIBERA  </w:t>
        <w:br/>
        <w:t xml:space="preserve">RESOLUTION  </w:t>
        <w:br/>
        <w:t xml:space="preserve">FILE ASV FUNESER / TANATORIO LA RIBERA  </w:t>
        <w:br/>
        <w:t xml:space="preserve">(C/1377/23)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April 19, 2023</w:t>
      </w:r>
    </w:p>
    <w:p>
      <w:r>
        <w:t>The Competition Chamber has analyzed the concentration file processed in accordance with Law 15/2007, of July 3, on the Defense of Competition, consisting of the acquisition of control by ASV Funeser, S.L.U. (FUNESER) over the activity carried out by Servicios Funerarios Fuserval, S.L. (FUSERVAL) at the Tanatorio La Ribera, through an agreement for the transfer of the activity license of the funeral home and the sale of a series of movable assets housed in said funeral home.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