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https://www.cnmc.es/expedientes/c137923</w:t>
      </w:r>
    </w:p>
    <w:p>
      <w:r>
        <w:t>Pages translated : 2</w:t>
      </w:r>
    </w:p>
    <w:p/>
    <w:p>
      <w:r>
        <w:rPr>
          <w:b/>
        </w:rPr>
        <w:t>[Pages 1–2]</w:t>
      </w:r>
    </w:p>
    <w:p>
      <w:r>
        <w:t xml:space="preserve">C/1379/23  </w:t>
        <w:br/>
        <w:t xml:space="preserve">TANATORIOS CÓRDOBA / LUQUE  </w:t>
        <w:br/>
        <w:t xml:space="preserve">RESOLUTION  </w:t>
        <w:br/>
        <w:t xml:space="preserve">FILE TANATORIOS CÓRDOBA/LUQUE  </w:t>
        <w:br/>
        <w:t xml:space="preserve">(C/1379/23)  </w:t>
        <w:br/>
        <w:t xml:space="preserve">COUNCIL. COMPETITION CHAMBER  </w:t>
        <w:br/>
        <w:t xml:space="preserve">President  </w:t>
        <w:br/>
        <w:t xml:space="preserve">Ms. Cani Fernández Vicién  </w:t>
        <w:br/>
        <w:t xml:space="preserve">Councilors  </w:t>
        <w:br/>
        <w:t xml:space="preserve">Mr. Carlos Aguilar Paredes  </w:t>
        <w:br/>
        <w:t xml:space="preserve">Mr. Josep María Salas Prat  </w:t>
        <w:br/>
        <w:t xml:space="preserve">Ms. María Jesús Martín Martínez  </w:t>
        <w:br/>
        <w:t xml:space="preserve">Mr. Bernardo Lorenzo Almendros  </w:t>
        <w:br/>
        <w:t xml:space="preserve">Secretary of the Council  </w:t>
        <w:br/>
        <w:t xml:space="preserve">Mr. Miguel Bordiu Garcia-Ovies  </w:t>
        <w:br/>
        <w:t xml:space="preserve">In Madrid, on May 10, 2023  </w:t>
        <w:br/>
        <w:t xml:space="preserve">The Competition Chamber has analyzed the concentration file processed in accordance with Law 15/2007, of July 3, on the Defense of Competition, consisting of the acquisition of exclusive control by TANATORIOS DE CÓRDOBA S.A., through the assignment of a public concession for mortuary services, as well as the purchase of assets through which Mr. JOSÉ FLORES LEÓN provides funeral and mortuary services in the municipality of Luque, in the province of Córdoba. In accordance with the report and proposal submitted by the Directorate of Competition, the Competition Chamber has resolved, under the application of Article 57.2.a) of the aforementioned Law 15/2007, of July 3, to authorize the aforementioned concentration operation.  </w:t>
        <w:br/>
        <w:t xml:space="preserve">Likewise, taking into account the practice of the CNMC and what is established in the Communication of the Commission regarding restrictions directly linked to the execution of a concentration and necessary for that purpose (2005/C 56/03); this Chamber considers that in the present case, the temporal scope of the non-competition clause exceeding the two years established by the aforementioned Communication, as well as its material scope exceeding the acquisition of shares that do not grant control over a competing business with the acquired one, goes beyond what is reasonably required by the notified concentration operation and should not be considered necessary or accessory, thus remaining subject to the general regulations applicable to agreements between companies in both cases. All of this in accordance with what is indicated in the aforementioned report proposal from the Directorate of Competition.  </w:t>
        <w:br/>
        <w:t xml:space="preserve">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National Commission of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