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https://www.cnmc.es/expedientes/c138123</w:t>
      </w:r>
    </w:p>
    <w:p>
      <w:r>
        <w:t>Pages translated : 1</w:t>
      </w:r>
    </w:p>
    <w:p/>
    <w:p>
      <w:r>
        <w:rPr>
          <w:b/>
        </w:rPr>
        <w:t>[Pages 1–1]</w:t>
      </w:r>
    </w:p>
    <w:p>
      <w:r>
        <w:t xml:space="preserve">C/1381/23  </w:t>
        <w:br/>
        <w:t xml:space="preserve">JUPITER / ALUDIUM  </w:t>
        <w:br/>
        <w:t xml:space="preserve">RESOLUTION  </w:t>
        <w:br/>
        <w:t xml:space="preserve">FILE JUPITER / ALUDIUM  </w:t>
        <w:br/>
        <w:t xml:space="preserve">(C/1381/23)  </w:t>
        <w:br/>
        <w:t xml:space="preserve">COUNCIL. COMPETITION CHAMBER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Madrid, on May 31, 2023  </w:t>
        <w:br/>
        <w:t xml:space="preserve">The Competition Chamber has analyzed the merger file processed in accordance with Law 15/2007, of July 3, on the Defense of Competition, consisting of the acquisition of exclusive control of ACR II ALUMINIUM GROUP B.V. by JUPITER EUROPEAN HOLDINGS, S.L.U. 1. In accordance with the report and proposal submitted by the Competition Directorate, the Competition Chamber has resolved, in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1. The operation will be carried out through JUPITER EUROPEAN HOLDINGS, S.L.U, which is a special purchase vehicle (wholly owned) established by JAC International Holdings Inc, which is a wholly owned subsidiary of JUPITER ALUMINUM CORPORATION.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