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https://www.cnmc.es/expedientes/c138323</w:t>
      </w:r>
    </w:p>
    <w:p>
      <w:r>
        <w:t>Pages translated : 1</w:t>
      </w:r>
    </w:p>
    <w:p/>
    <w:p>
      <w:r>
        <w:rPr>
          <w:b/>
        </w:rPr>
        <w:t>[Pages 1–1]</w:t>
      </w:r>
    </w:p>
    <w:p>
      <w:r>
        <w:t>C/1383/23 DISELCIDE / HEC RESOLUTION FILE DISELCIDE / HEC (C/1383/23) COUNCIL. COMPETITION CHAMBER President Ms. Cani Fernández Vicién Councilors Mr. Carlos Aguilar Paredes Mr. Josep María Salas Prat Ms. María Jesús Martín Martínez Mr. Bernardo Lorenzo Almendros Deputy Secretary of the Council Ms. Mª Ángeles Rodriguez Paraja In Madrid, on June 14, 2023 The Competition Chamber has analyzed the merger file processed in accordance with Law 15/2007, of July 3, on the Defense of Competition, consisting of the acquisition by Diselcide, S.L., of exclusive control of Hidroeléctrica del Cerrajón S.L. In accordance with the report and proposal submitted by the Competition Directorate, the Competition Chamber has resolved, in application of Article 57.2.a) of the aforementioned Law 15/2007, of July 3, to authorize the aforementioned merger operation.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