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https://www.cnmc.es/expedientes/c138523</w:t>
      </w:r>
    </w:p>
    <w:p>
      <w:r>
        <w:t>Pages translated : 1</w:t>
      </w:r>
    </w:p>
    <w:p/>
    <w:p>
      <w:r>
        <w:rPr>
          <w:b/>
        </w:rPr>
        <w:t>[Pages 1–1]</w:t>
      </w:r>
    </w:p>
    <w:p>
      <w:r>
        <w:t xml:space="preserve">C/1385/23  </w:t>
        <w:br/>
        <w:t xml:space="preserve">REGANOSA / ENAGAS TRANSPORTE / MUSEL  </w:t>
        <w:br/>
        <w:t xml:space="preserve">RESOLUTION  </w:t>
        <w:br/>
        <w:t xml:space="preserve">FILE REGANOSA / ENAGAS TRANSPORTE / MUSEL  </w:t>
        <w:br/>
        <w:t xml:space="preserve">(C/1385/23)  </w:t>
        <w:br/>
        <w:t>COUNCIL. COMPETITION CHAMBER</w:t>
      </w:r>
    </w:p>
    <w:p>
      <w:r>
        <w:t xml:space="preserve">President  </w:t>
        <w:br/>
        <w:t>Ms. Cani Fernández Vicién</w:t>
      </w:r>
    </w:p>
    <w:p>
      <w:r>
        <w:t xml:space="preserve">Councilors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Rodríguez Paraja</w:t>
      </w:r>
    </w:p>
    <w:p>
      <w:r>
        <w:t>In Madrid, on July 7, 2023</w:t>
      </w:r>
    </w:p>
    <w:p>
      <w:r>
        <w:t>The Competition Chamber has analyzed the merger file processed in accordance with Law 15/2007, of July 3, on the Defense of Competition, consisting of the acquisition by Reganosa HoldCo, S.A (hereinafter, REGANOSA), of joint control over Musel Energy Hub, S.L.U. (hereinafter, MUSEL), through the acquisition of 25% of the shareholdings that make up its capital (hereinafter, the “Operation”). Specifically, REGANOSA acquires the shareholdings representing 25% of the share capital of MUSEL from the company ENAGAS TRANSPORTE, S.A.U. (ENAGAS TRANSPORTE), which will retain the remaining 75%. According to the report and proposal submitted by the Directorate of Competition, the Competition Chamber has resolved, in application of Article 57.2.a) of the aforementioned Law 15/2007, of July 3, to authorize the aforementioned merger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