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https://www.cnmc.es/expedientes/c138623</w:t>
      </w:r>
    </w:p>
    <w:p>
      <w:r>
        <w:t>Pages translated : 2</w:t>
      </w:r>
    </w:p>
    <w:p/>
    <w:p>
      <w:r>
        <w:rPr>
          <w:b/>
        </w:rPr>
        <w:t>[Pages 1–2]</w:t>
      </w:r>
    </w:p>
    <w:p>
      <w:r>
        <w:t xml:space="preserve">C/1386/23  </w:t>
        <w:br/>
        <w:t xml:space="preserve">ABANCA / TARGOBANK  </w:t>
        <w:br/>
        <w:t xml:space="preserve">RESOLUTION  </w:t>
        <w:br/>
        <w:t xml:space="preserve">FILE ABANCA / TARGOBANK  </w:t>
        <w:br/>
        <w:t xml:space="preserve">(C/1386/23)  </w:t>
        <w:br/>
        <w:t>COUNCIL. COMPETITION CHAMBER</w:t>
      </w:r>
    </w:p>
    <w:p>
      <w:r>
        <w:t xml:space="preserve">President  </w:t>
        <w:br/>
        <w:t>Ms. Cani Fernández Vicién</w:t>
      </w:r>
    </w:p>
    <w:p>
      <w:r>
        <w:t xml:space="preserve">Counselors  </w:t>
        <w:br/>
        <w:t xml:space="preserve">Mr. Carlos Aguilar Paredes  </w:t>
        <w:br/>
        <w:t xml:space="preserve">Ms. María Jesús Martín Martínez  </w:t>
        <w:br/>
        <w:t>Mr. Bernardo Lorenzo Almendros</w:t>
      </w:r>
    </w:p>
    <w:p>
      <w:r>
        <w:t xml:space="preserve">Secretary of the Council  </w:t>
        <w:br/>
        <w:t>Mr. Miguel Bordiu Garcia-Ovies</w:t>
      </w:r>
    </w:p>
    <w:p>
      <w:r>
        <w:t>In Madrid, on September 6, 2023</w:t>
      </w:r>
    </w:p>
    <w:p>
      <w:r>
        <w:t>The Competition Chamber has analyzed the concentration file processed in accordance with Law 15/2007, of July 3, on the Defense of Competition, consisting of the acquisition by ABANCA CORPORACIÓN BANCARIA, S.A. of exclusive control over TARGOBANK, S.A.U. and, through it, over its subsidiaries, CEMCICE SERVICIOS ESPAÑA, S.A. and TARGOINMUEBLES, S.A. In accordance with the report and proposal submitted by the Competition Directorate, the Competition Chamber has resolved, pursuant to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considers that the limitation that the seller competes with the buyer in private banking and the limitation on the acquisition or holding of shares for exclusively financial investment purposes that do not confer direct or indirectly management functions or substantial influence in the competing company; the extension to other persons of the non-solicitation clause, and the temporal scope of the transitional agreement for the provision of services to the target (which exceeds the maximum of five years established by the Communication) go beyond what is reasonably required by the notified concentration operation, and are therefore subject to the general regulations applicable to agreements between companies. All of this in accordance with what is indicated in the aforementioned report proposal of the Competition Directorate.</w:t>
      </w:r>
    </w:p>
    <w:p>
      <w:r>
        <w:t xml:space="preserve">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