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https://www.cnmc.es/expedientes/c138723</w:t>
      </w:r>
    </w:p>
    <w:p>
      <w:r>
        <w:t>Pages translated : 2</w:t>
      </w:r>
    </w:p>
    <w:p/>
    <w:p>
      <w:r>
        <w:rPr>
          <w:b/>
        </w:rPr>
        <w:t>[Pages 1–2]</w:t>
      </w:r>
    </w:p>
    <w:p>
      <w:r>
        <w:t xml:space="preserve">C/1387/23  </w:t>
        <w:br/>
        <w:t xml:space="preserve">ABAC / IBERCONSEIL  </w:t>
        <w:br/>
        <w:t xml:space="preserve">RESOLUTION  </w:t>
        <w:br/>
        <w:t xml:space="preserve">FILE ABAC / IBERCONSEIL  </w:t>
        <w:br/>
        <w:t xml:space="preserve">(C/1387/23)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June 7, 2023</w:t>
      </w:r>
    </w:p>
    <w:p>
      <w:r>
        <w:t>The Competition Chamber has analyzed the merger file processed in accordance with Law 15/2007, of July 3, on the Defense of Competition, consisting of the acquisition by Abac SV II (hereinafter, "ABAC") through the vehicle company Lleo SPV 5, S.L. (hereinafter, "LLEO SPV") of the exclusive control of Iber Conseil España, S.A. and its subsidiary Unión Quesera Europea, S.L. (jointly, "IBERCONSEIL"). In accordance with the report and proposal submitted by the Directorate of Competition, the Competition Chamber has resolved, applying Article 57.2.a) of the aforementioned Law 15/2007, of July 3, to authorize the aforementioned merger operation.</w:t>
      </w:r>
    </w:p>
    <w:p>
      <w:r>
        <w:t xml:space="preserve">This Resolution shall be communicated to the Directorate of Competition of the National Commission of Markets and Competition and notified to the interested party,  </w:t>
        <w:br/>
        <w:t>1 LLEO SPV is a vehicle company established for the purpose of acquiring the exclusive control of IBERCONSEIL by ABAC SV II.</w:t>
      </w:r>
    </w:p>
    <w:p>
      <w:r>
        <w:t xml:space="preserve">National Commission of Markets and Competition 1 of 2  </w:t>
        <w:br/>
        <w:t xml:space="preserve">C/ Alcalá, 47 – 28014 Madrid - C/ Bolivia, 56 – 08018 Barcelona  </w:t>
        <w:br/>
        <w:t>www.cnmc.es</w:t>
      </w:r>
    </w:p>
    <w:p>
      <w:r>
        <w:t xml:space="preserve">C/1387/23  </w:t>
        <w:br/>
        <w:t xml:space="preserve">ABAC / IBERCONSEIL  </w:t>
        <w:br/>
        <w:t>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