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https://www.cnmc.es/expedientes/c138923</w:t>
      </w:r>
    </w:p>
    <w:p>
      <w:r>
        <w:t>Pages translated : 2</w:t>
      </w:r>
    </w:p>
    <w:p/>
    <w:p>
      <w:r>
        <w:rPr>
          <w:b/>
        </w:rPr>
        <w:t>[Pages 1–2]</w:t>
      </w:r>
    </w:p>
    <w:p>
      <w:r>
        <w:t xml:space="preserve">C/1389/23  </w:t>
        <w:br/>
        <w:t xml:space="preserve">FUNESER / ALBIA  </w:t>
        <w:br/>
        <w:t xml:space="preserve">RESOLUTION  </w:t>
        <w:br/>
        <w:t xml:space="preserve">FILE FUNESER / ALBIA  </w:t>
        <w:br/>
        <w:t xml:space="preserve">(C/1389/23)  </w:t>
        <w:br/>
        <w:t xml:space="preserve">COUNCIL. COMPETITION CHAMBER  </w:t>
        <w:br/>
        <w:t xml:space="preserve">President  </w:t>
        <w:br/>
        <w:t xml:space="preserve">Ms. Cani Fernández Vicién  </w:t>
        <w:br/>
        <w:t xml:space="preserve">Counselors  </w:t>
        <w:br/>
        <w:t xml:space="preserve">Mr. Carlos Aguilar Paredes  </w:t>
        <w:br/>
        <w:t xml:space="preserve">Mr. Josep María Salas Prat  </w:t>
        <w:br/>
        <w:t xml:space="preserve">Ms. María Jesús Martín Martínez  </w:t>
        <w:br/>
        <w:t xml:space="preserve">Mr. Bernardo Lorenzo Almendros  </w:t>
        <w:br/>
        <w:t xml:space="preserve">Deputy Secretary of the Council  </w:t>
        <w:br/>
        <w:t xml:space="preserve">Ms. Mª Ángeles Rodriguez Paraja  </w:t>
        <w:br/>
        <w:t xml:space="preserve">In Madrid, on June 14, 2023  </w:t>
        <w:br/>
        <w:t xml:space="preserve">The Competition Chamber has analyzed the concentration file processed in accordance with Law 15/2007, of July 3, on the Defense of Competition, consisting of the acquisition of exclusive control by ASV FUNESER, S.L.U. over three funeral homes owned by ALBIA GESTIÓN DE SERVICIOS, S.L.U. located in the municipalities of Carcaixent, La Pobla Llarga, and Algemesí, respectively (all three belonging to the province of Valencia) 1. According to the report and proposal submitted by the Directorate of Competition, the Competition Chamber has resolved, in application of Article 57.2.a) of the aforementioned Law 15/2007, of July 3, to authorize the aforementioned concentration operation.  </w:t>
        <w:b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