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https://www.cnmc.es/expedientes/c139023</w:t>
      </w:r>
    </w:p>
    <w:p>
      <w:r>
        <w:t>Pages translated : 1</w:t>
      </w:r>
    </w:p>
    <w:p/>
    <w:p>
      <w:r>
        <w:rPr>
          <w:b/>
        </w:rPr>
        <w:t>[Pages 1–1]</w:t>
      </w:r>
    </w:p>
    <w:p>
      <w:r>
        <w:t xml:space="preserve">C/1390/23  </w:t>
        <w:br/>
        <w:t xml:space="preserve">ASTERION – SSG MATRIX / GRUPO SSG  </w:t>
        <w:br/>
        <w:t xml:space="preserve">RESOLUTION  </w:t>
        <w:br/>
        <w:t xml:space="preserve">FILE ASTERION – SSG MATRIX / GRUPO SSG  </w:t>
        <w:br/>
        <w:t xml:space="preserve">(C/1390/23)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Ms. María Ángeles Rodriguez Paraja</w:t>
      </w:r>
    </w:p>
    <w:p>
      <w:r>
        <w:t>In Madrid, on June 20, 2023</w:t>
      </w:r>
    </w:p>
    <w:p>
      <w:r>
        <w:t>The Competition Chamber has analyzed the merger file processed in accordance with Law 15/2007, of July 3, on the Defense of Competition, consisting of the acquisition by ASTERION INDUSTRIAL INFRA FUND II FCR (“ASTERION”), of joint control of GRUPO SSG (“SSG”), acquiring 74.99% of the share capital of said company from SSG MATRIX, with whom it will hold joint control once the operation with ASTERION is executed. In accordance with the report and proposal submitted by the Directorate of Competition, the Competition Chamber has resolved, under the application of Article 57.2.a) of the aforementioned Law 15/2007, of July 3, to authorize the aforementioned merger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