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https://www.cnmc.es/expedientes/c139123</w:t>
      </w:r>
    </w:p>
    <w:p>
      <w:r>
        <w:t>Pages translated : 2</w:t>
      </w:r>
    </w:p>
    <w:p/>
    <w:p>
      <w:r>
        <w:rPr>
          <w:b/>
        </w:rPr>
        <w:t>[Pages 1–2]</w:t>
      </w:r>
    </w:p>
    <w:p>
      <w:r>
        <w:t xml:space="preserve">C/1391/23  </w:t>
        <w:br/>
        <w:t xml:space="preserve">REPSOL / CIDE / CHC  </w:t>
        <w:br/>
        <w:t xml:space="preserve">RESOLUTION  </w:t>
        <w:br/>
        <w:t xml:space="preserve">FILE REPSOL / CIDE / CHC  </w:t>
        <w:br/>
        <w:t xml:space="preserve">(C/1397/23)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12, 2023</w:t>
      </w:r>
    </w:p>
    <w:p>
      <w:r>
        <w:t>The Competition Chamber has analyzed the concentration file processed in accordance with Law 15/2007, of July 3, on the Defense of Competition, consisting of the joint control acquisition by REPSOL CUSTOMER CENTRIC, S.L. and CIDE SERVICIOS COMERCIALES DE ENERGÍA, S.L. of CIDE HC ENERGÍA, S.A.U. through the acquisition of 50.01% of the share capital of CHC by REPSOL1. In accordance with the report and the proposal submitted by the Competition Directorate, the Competition Chamber has resolved, applying Article 57.2.a) of the aforementioned Law 15/2007, of July 3, to authorize the aforementioned concentration operation.</w:t>
      </w:r>
    </w:p>
    <w:p>
      <w:r>
        <w:t xml:space="preserve">Likewise, taking into account the practice of the CNMC and what is established in the Communication of the Commission on restrictions directly linked to the execution of a concentration and necessary for that purpose (2005/C 56/03); this Chamber considers that they will not be considered accessory or necessary for the operation, thus remaining subject to the regulations on agreements between companies:  </w:t>
        <w:br/>
        <w:t xml:space="preserve">- The content of the non-compete obligation of CIDE included in clause 12 of the Shareholders' Agreement, regarding those geographic markets in which it is not active on the date of the operation and regarding its duration, in all that exceeds the duration of the joint venture.  </w:t>
        <w:br/>
        <w:t xml:space="preserve">- The duration of the non-solicitation obligation of CIDE included in clause 12. iii) of the Shareholders' Agreement in all that exceeds the duration of the joint venture.  </w:t>
        <w:br/>
        <w:t xml:space="preserve">- The duration of the confidentiality obligation of CIDE and REPSOL regarding information of the joint venture to which they have had access included in clause 10. a) of the Shareholders' Agreement, in all that exceeds the duration of the joint venture.  </w:t>
        <w:br/>
        <w:t>- The duration of the confidentiality obligation of CIDE and REPSOL regarding commercial information and know-how of the parties and of the joint venture to which they have had access due to the operation included in clause 22 of the Shareholders' Agreement, in all that exceeds the duration of the joint venture.</w:t>
      </w:r>
    </w:p>
    <w:p>
      <w:r>
        <w:t>All of this in accordance with what is indicated in the aforementioned report proposal of the Competition Directorate.</w:t>
      </w:r>
    </w:p>
    <w:p>
      <w:r>
        <w:t xml:space="preserve">Communicate this Resolution to the Competition Directorate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