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https://www.cnmc.es/expedientes/c139223</w:t>
      </w:r>
    </w:p>
    <w:p>
      <w:r>
        <w:t>Pages translated : 1</w:t>
      </w:r>
    </w:p>
    <w:p/>
    <w:p>
      <w:r>
        <w:rPr>
          <w:b/>
        </w:rPr>
        <w:t>[Pages 1–1]</w:t>
      </w:r>
    </w:p>
    <w:p>
      <w:r>
        <w:t xml:space="preserve">C/1392/23  </w:t>
        <w:br/>
        <w:t xml:space="preserve">SPAICOL SPAIN / CADPET  </w:t>
        <w:br/>
        <w:t xml:space="preserve">RESOLUTION  </w:t>
        <w:br/>
        <w:t xml:space="preserve">FILE SPAICOL SPAIN / CADPET  </w:t>
        <w:br/>
        <w:t xml:space="preserve">(C/1392/23)  </w:t>
        <w:br/>
        <w:t>COUNCIL. COMPETITION CHAMBER</w:t>
      </w:r>
    </w:p>
    <w:p>
      <w:r>
        <w:t xml:space="preserve">President  </w:t>
        <w:br/>
        <w:t>Ms. Cani Fernández Vicién</w:t>
      </w:r>
    </w:p>
    <w:p>
      <w:r>
        <w:t xml:space="preserve">Councilors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Rodriguez Paraja</w:t>
      </w:r>
    </w:p>
    <w:p>
      <w:r>
        <w:t>In Barcelona, on June 28, 2023</w:t>
      </w:r>
    </w:p>
    <w:p>
      <w:r>
        <w:t>The Competition Chamber has analyzed the merger file processed in accordance with Law 15/2007, of July 3, on the Defense of Competition, consisting of the acquisition by SPAICOL SPAIN, S.L.U. (“SPAICOL”), of exclusive control of CENTRO AVANZADO DE DIAGNÓSTICO PET, S.A. (“CADPET”) through the purchase of 90.81% of its shares. In accordance with the report and proposal submitted by the Directorate of Competition, the Competition Chamber has resolved, applying Article 57.2.a) of the aforementioned Law 15/2007, of July 3, to authorize the said merger operation.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