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https://www.cnmc.es/expedientes/c139523</w:t>
      </w:r>
    </w:p>
    <w:p>
      <w:r>
        <w:t>Pages translated : 2</w:t>
      </w:r>
    </w:p>
    <w:p/>
    <w:p>
      <w:r>
        <w:rPr>
          <w:b/>
        </w:rPr>
        <w:t>[Pages 1–2]</w:t>
      </w:r>
    </w:p>
    <w:p>
      <w:r>
        <w:t xml:space="preserve">C/1395/23  </w:t>
        <w:br/>
        <w:t xml:space="preserve">MEDIAN UNTERNEHMENSGRUPPE / GRUPO HESTIA  </w:t>
        <w:br/>
        <w:t xml:space="preserve">RESOLUTION  </w:t>
        <w:br/>
        <w:t xml:space="preserve">FILE MEDIAN UNTERNEHMENSGRUPPE / GRUPO  </w:t>
        <w:br/>
        <w:t xml:space="preserve">HESTIA  </w:t>
        <w:br/>
        <w:t xml:space="preserve">(C/1395/23)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Ms. María Ángeles Rodríguez Paraja  </w:t>
        <w:br/>
        <w:t xml:space="preserve">In Madrid, on July 4, 2023  </w:t>
        <w:br/>
        <w:t xml:space="preserve">The Competition Chamber has analyzed the merger file processed in accordance with Law 15/2007, of July 3, on the Defense of Competition, consisting of the acquisition of exclusive control by Median Unternehmensgruppe B.V. &amp; CO. KG over two companies: Hestia Alliance, S.L. and, eventually, Drury S.L. In accordance with the report and proposal submitted by the Directorate of Competition, the Competition Chamber has resolved, under the application of Article 57.2.a) of the aforementioned Law 15/2007, of July 3, to authorize the said merger operation.  </w:t>
        <w:br/>
        <w:t xml:space="preserve">However, the authorization of the two acquisitions as a single operation will be subject to the conditions set forth in Section 48 of the Consolidated Communication of the Commission on jurisdictional issues in competition matters, carried out in accordance with Council Regulation (EC) 139/2004 on the control of concentrations between undertakings (2008/C 95/01), OJ C 95/1 of 16/4/2008.  </w:t>
        <w:br/>
        <w:t xml:space="preserve">Likewise, taking into account the practice of the CNMC and what is established in the Commission's Communication on restrictions directly linked to the execution of a concentration and necessary for that purpose (2005/C 56/03); this Chamber considers that the material scope of the non-compete clause, regarding the acquisition of non-controlling stakes, and the geographical scope, as it exceeds the territorial scope of each market in which the acquired party is present, goes beyond what is reasonably required by the notified merger operation, and is therefore subject to the general regulations applicable to agreements between companies.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