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https://www.cnmc.es/expedientes/c139623</w:t>
      </w:r>
    </w:p>
    <w:p>
      <w:r>
        <w:t>Pages translated : 2</w:t>
      </w:r>
    </w:p>
    <w:p/>
    <w:p>
      <w:r>
        <w:rPr>
          <w:b/>
        </w:rPr>
        <w:t>[Pages 1–2]</w:t>
      </w:r>
    </w:p>
    <w:p>
      <w:r>
        <w:t xml:space="preserve">C/1396/23  </w:t>
        <w:br/>
        <w:t xml:space="preserve">V-VALLEY (ESPRINET) / LIDERA  </w:t>
        <w:br/>
        <w:t xml:space="preserve">RESOLUTION  </w:t>
        <w:br/>
        <w:t xml:space="preserve">FILE V-VALLEY (ESPRINET) - LIDERA  </w:t>
        <w:br/>
        <w:t xml:space="preserve">(C/1396/23)  </w:t>
        <w:br/>
        <w:t>COUNCIL. COMPETITION CHAMBER</w:t>
      </w:r>
    </w:p>
    <w:p>
      <w:r>
        <w:t xml:space="preserve">President  </w:t>
        <w:br/>
        <w:t>Ms. Cani Fernández Vicién</w:t>
      </w:r>
    </w:p>
    <w:p>
      <w:r>
        <w:t xml:space="preserve">Counselors  </w:t>
        <w:br/>
        <w:t xml:space="preserve">Mr. Carlos Aguilar Paredes  </w:t>
        <w:br/>
        <w:t xml:space="preserve">Mr. Josep María Salas Prat  </w:t>
        <w:br/>
        <w:t xml:space="preserve">Ms. María Jesús Martín Martínez  </w:t>
        <w:br/>
        <w:t>Mr. Bernardo Lorenzo Almendros</w:t>
      </w:r>
    </w:p>
    <w:p>
      <w:r>
        <w:t xml:space="preserve">Secretary of the Council  </w:t>
        <w:br/>
        <w:t>Ms. María Ángeles Rodríguez Paraja</w:t>
      </w:r>
    </w:p>
    <w:p>
      <w:r>
        <w:t>In Madrid, on July 12, 2023</w:t>
      </w:r>
    </w:p>
    <w:p>
      <w:r>
        <w:t>The Competition Chamber has analyzed the merger file processed in accordance with Law 15/2007, of July 3, on the Defense of Competition, consisting of the acquisition by V-VALLEY ADVANCED SOLUTIONS ESPAÑA, S.A.U., belonging to the Esprinet Group whose ultimate holding is ESPRINET, S.P.A., of the exclusive control of LIDERA NETWORK, S.L. In accordance with the report and the proposal submitted by the Directorate of Competition, the Competition Chamber has resolved, applying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considers that the duration of the non-compete and non-solicitation agreements included in the purchase contract goes beyond what is reasonably required by the notified merger operation, thus remaining subject to the general regulations applicable to agreements between companies in excess of two years.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