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https://www.cnmc.es/expedientes/c139723</w:t>
      </w:r>
    </w:p>
    <w:p>
      <w:r>
        <w:t>Pages translated : 2</w:t>
      </w:r>
    </w:p>
    <w:p/>
    <w:p>
      <w:r>
        <w:rPr>
          <w:b/>
        </w:rPr>
        <w:t>[Pages 1–2]</w:t>
      </w:r>
    </w:p>
    <w:p>
      <w:r>
        <w:t>C/1397/23 NATURGY / ASR WIND RESOLUTION FILE NATURGY / ASR WIND (C/1397/23) COUNCIL. COMPETITION CHAMBER President Ms. Cani Fernández Vicién Councilors Mr. Carlos Aguilar Paredes Mr. Josep María Salas Prat Ms. María Jesús Martín Martínez Mr. Bernardo Lorenzo Almendros Secretary of the Council Ms. María Ángeles Rodríguez Paraja In Madrid, on July 19, 2023 The Competition Chamber has analyzed the concentration file processed in accordance with Law 15/2007, of July 3, on the Defense of Competition, consisting of the acquisition by Naturgy Energy Group, S.A., through its subsidiary Naturgy Renovables, S.L.U., of 100% of the share capital of ASR Wind, S.L., and its subsidiary companies, from their current owners1. In accordance with the report and the proposal submitted by the Directorate of Competition, the Competition Chamber has resolved, applying Article 57.2.a) of the aforementioned Law 15/2007, of July 3, to authorize the aforementioned concentration operation. 1 Currently, the shares of ASR WIND are divided among (i) Infravest V S.À.R.L. (ii) Infravest V B S.À.R.L. and (iii) Exus Management Partners, S.L.U. National Commission of Markets and Competition 1 of 2 C/ Alcalá, 47 – 28014 Madrid - C/ Bolivia, 56 – 08018 Barcelona www.cnmc.es C/1397/23 NATURGY / ASR WIND Likewise, taking into account the practice of the CNMC and what is established in the Commission Communication on restrictions directly linked to the execution of a concentration and necessary for that purpose (2005/C 56/03); this Chamber considers that in the present case, they are not deemed necessary for the execution of the operation nor ancillary to it, remaining subject to the regulations on agreements between companies, the duration of the confidentiality clause, in all that exceeds the period of two years from the execution of the operation. All of this in accordance with what is indicated in the aforementioned report proposal of the Directorate of Competition.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