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https://www.cnmc.es/expedientes/c139823</w:t>
      </w:r>
    </w:p>
    <w:p>
      <w:r>
        <w:t>Pages translated : 2</w:t>
      </w:r>
    </w:p>
    <w:p/>
    <w:p>
      <w:r>
        <w:rPr>
          <w:b/>
        </w:rPr>
        <w:t>[Pages 1–2]</w:t>
      </w:r>
    </w:p>
    <w:p>
      <w:r>
        <w:t xml:space="preserve">C/1398/23  </w:t>
        <w:br/>
        <w:t xml:space="preserve">TAYLOR FRESH FOOD/ETHERNAL LIFE CAPITAL/FOODIVERSE TECH FOOD, S.L.U.  </w:t>
        <w:br/>
        <w:t xml:space="preserve">RESOLUTION  </w:t>
        <w:br/>
        <w:t xml:space="preserve">FILE TAYLOR FRESH FOOD/ETHERNAL LIFE CAPITAL/FOODIVERSE TECH FOOD, S.L.U. (C/1398/23)  </w:t>
        <w:br/>
        <w:t xml:space="preserve">COUNCIL. COMPETITION CHAMBER  </w:t>
        <w:br/>
        <w:t xml:space="preserve">President  </w:t>
        <w:br/>
        <w:t xml:space="preserve">Ms. Cani Fernández Vicién  </w:t>
        <w:br/>
        <w:t xml:space="preserve">Councilors  </w:t>
        <w:br/>
        <w:t xml:space="preserve">Mr. Carlos Aguilar Paredes  </w:t>
        <w:br/>
        <w:t xml:space="preserve">Mr. Josep María Salas Prat  </w:t>
        <w:br/>
        <w:t xml:space="preserve">Ms. María Jesús Martín Martínez  </w:t>
        <w:br/>
        <w:t xml:space="preserve">Mr. Bernardo Lorenzo Almendros  </w:t>
        <w:br/>
        <w:t xml:space="preserve">Secretary of the Council  </w:t>
        <w:br/>
        <w:t xml:space="preserve">Ms. María Ángeles Rodríguez Paraja  </w:t>
        <w:br/>
        <w:t xml:space="preserve">In Madrid, on July 19, 2023  </w:t>
        <w:br/>
        <w:t xml:space="preserve">The Competition Chamber has analyzed the concentration file processed in accordance with Law 15/2007, of July 3, on the Defense of Competition, consisting of the acquisition by Taylor Fresh Foods Inc. of joint control of Foodiverse Tech Food, S.L.U., through the acquisition of 40% of the company's capital from Ethernal Life Capital, S.L., which will retain the remaining 60%. In accordance with the report and proposal submitted by the Directorate of Competition, the Competition Chamber has resolved, applying Article 57.2.a) of the aforementioned Law 15/2007, of July 3, to authorize the said concentration operation.  </w:t>
        <w:br/>
        <w:t xml:space="preserve">Likewise, taking into account the practice of the CNMC and what is established in the Communication of the Commission on restrictions directly linked to the execution of a concentration and necessary for that purpose (2005/C 56/03); this Chamber considers that in the present case, the duration of the non-competition, non-solicitation, and confidentiality clauses, in all that exceeds the duration of the joint control over the target between both parent companies, are not considered necessary or ancillary for the operation and are therefore subject to the regulations on agreements between companies. All of this in accordance with what is indicated in the aforementioned report proposal from the Directorate of Competition.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