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https://www.cnmc.es/expedientes/c139923</w:t>
      </w:r>
    </w:p>
    <w:p>
      <w:r>
        <w:t>Pages translated : 1</w:t>
      </w:r>
    </w:p>
    <w:p/>
    <w:p>
      <w:r>
        <w:rPr>
          <w:b/>
        </w:rPr>
        <w:t>[Pages 1–1]</w:t>
      </w:r>
    </w:p>
    <w:p>
      <w:r>
        <w:t xml:space="preserve">C/1399/23  </w:t>
        <w:br/>
        <w:t xml:space="preserve">GRUPO HOSPITALARIO RECOLETAS/IVI SEVILLA/GINEMED ZARAGOZA/GINEMED MURCIA  </w:t>
        <w:br/>
        <w:t xml:space="preserve">RESOLUTION  </w:t>
        <w:br/>
        <w:t xml:space="preserve">FILE GRUPO HOSPITALARIO RECOLETAS/IVI SEVILLA/GINEMED ZARAGOZA/GINEMED MURCIA  </w:t>
        <w:br/>
        <w:t xml:space="preserve">(C/1399/23)  </w:t>
        <w:br/>
        <w:t>COUNCIL. COMPETITION CHAMBER</w:t>
      </w:r>
    </w:p>
    <w:p>
      <w:r>
        <w:t xml:space="preserve">President  </w:t>
        <w:br/>
        <w:t>Ms. Cani Fernández Vicién</w:t>
      </w:r>
    </w:p>
    <w:p>
      <w:r>
        <w:t xml:space="preserve">Councilors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Rodríguez Paraja</w:t>
      </w:r>
    </w:p>
    <w:p>
      <w:r>
        <w:t>In Madrid, on July 19, 2023</w:t>
      </w:r>
    </w:p>
    <w:p>
      <w:r>
        <w:t>The Competition Chamber has analyzed the concentration file processed in accordance with Law 15/2007, of July 3, on the Defense of Competition, consisting of the acquisition by Grupo Hospitalario Recoletas S.L.U., of exclusive control of the companies IVI Sevilla S.L., IVI RMA Global Real Estate Assets S.L.U., Ginemed Zaragoza S.L.U., and Ginemed Murcia S.L.U. 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