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https://www.cnmc.es/expedientes/c140223</w:t>
      </w:r>
    </w:p>
    <w:p>
      <w:r>
        <w:t>Pages translated : 1</w:t>
      </w:r>
    </w:p>
    <w:p/>
    <w:p>
      <w:r>
        <w:rPr>
          <w:b/>
        </w:rPr>
        <w:t>[Pages 1–1]</w:t>
      </w:r>
    </w:p>
    <w:p>
      <w:r>
        <w:t>C/1402/23 ALBUS – USSL – FOUNDER / DUKES EDUCATION RESOLUTION FILE ALBUS – USSL – FOUNDER / DUKES EDUCATION (C/1402/23) COUNCIL. COMPETITION CHAMBER President Ms. Cani Fernández Vicién Councilors Mr. Carlos Aguilar Paredes Mr. Josep María Salas Prat Ms. María Jesús Martín Martínez Mr. Bernardo Lorenzo Almendros Secretary of the Council Ms. María Ángeles Rodríguez Paraja In Madrid, on July 26, 2023 The Competition Chamber has analyzed the concentration file processed in accordance with Law 15/2007, of July 3, on the Defense of Competition, consisting of the joint control acquisition by the notifying parties: (i) ALBUS BIDCO LIMITED (“ALBUS”); (ii) Universities Superannuation Scheme Limited (“USSL”); (iii) and AATIF HASSAN (the “FOUNDER”, natural person founder and president of the acquired company) of DUKES EDUCATION GROUP LTD. (“DUKES EDUCATION”). In accordance with the report and proposal submitted by the Competition Directorate, the Competition Chamber has resolved, under the application of Article 57.2.a) of the aforementioned Law 15/2007, of July 3, to authorize the aforementioned concentration operation. 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