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https://www.cnmc.es/expedientes/c140323</w:t>
      </w:r>
    </w:p>
    <w:p>
      <w:r>
        <w:t>Pages translated : 1</w:t>
      </w:r>
    </w:p>
    <w:p/>
    <w:p>
      <w:r>
        <w:rPr>
          <w:b/>
        </w:rPr>
        <w:t>[Pages 1–1]</w:t>
      </w:r>
    </w:p>
    <w:p>
      <w:r>
        <w:t xml:space="preserve">C/1403/23  </w:t>
        <w:br/>
        <w:t xml:space="preserve">INDRA / PARK AIR  </w:t>
        <w:br/>
        <w:t xml:space="preserve">RESOLUTION  </w:t>
        <w:br/>
        <w:t xml:space="preserve">FILE INDRA / PARK AIR  </w:t>
        <w:br/>
        <w:t xml:space="preserve">(C/1403/23)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Ms. María Ángeles Rodríguez Paraja</w:t>
      </w:r>
    </w:p>
    <w:p>
      <w:r>
        <w:t>In Madrid, on July 26, 2023</w:t>
      </w:r>
    </w:p>
    <w:p>
      <w:r>
        <w:t>The Competition Chamber has analyzed the concentration file processed in accordance with Law 15/2007, of July 3, on the Defense of Competition, consisting of the acquisition of exclusive control by INDRA SISTEMAS, S.A., of PARK AIR SYSTEMS LIMITED. In accordance with the report and the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of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