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https://www.cnmc.es/expedientes/c140423</w:t>
      </w:r>
    </w:p>
    <w:p>
      <w:r>
        <w:t>Pages translated : 2</w:t>
      </w:r>
    </w:p>
    <w:p/>
    <w:p>
      <w:r>
        <w:rPr>
          <w:b/>
        </w:rPr>
        <w:t>[Pages 1–2]</w:t>
      </w:r>
    </w:p>
    <w:p>
      <w:r>
        <w:t>C/1404/23 INTRUM / HAYA RESOLUTION FILE INTRUM / HAYA (C/1404/23) COUNCIL. COMPETITION CHAMBER President Ms. Cani Fernández Vicién Councilors Mr. Carlos Aguilar Paredes Mr. Josep María Salas Prat Ms. María Jesús Martín Martínez Mr. Bernardo Lorenzo Almendros Secretary of the Council Ms. María Ángeles Rodríguez Paraja In Madrid, on July 26, 2023 The Competition Chamber has analyzed the concentration file processed in accordance with Law 15/2007, of July 3, on the Defense of Competition, consisting of the acquisition of exclusive control by Intrum Holding Spain, S.A.U., over HAYA Real Estate, S.A.U. and, through it, over its wholly-owned subsidiary, HRE NB 2022, S.L.U. In accordance with the report and proposal submitted by the Competition Directorate, the Competition Chamber has resolved, applying Article 57.2.a) of the aforementioned Law 15/2007, of July 3, to authorize the aforementioned concentration operation. Likewise, taking into account the practice of the CNMC and what is established in the Commission Communication on restrictions directly linked to the execution of a concentration and necessary for that purpose (2005/C 56/03); this Chamber considers that in the present case, the material scope of the confidentiality clause, as it applies to the acquirer, goes beyond what is reasonably required by the notified concentration operation, thus remaining subject to the general regulations applicable to agreements between companies. All of this in accordance with what is indicated in the aforementioned report proposal of the Competition Directorate. 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on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