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https://www.cnmc.es/expedientes/c140523</w:t>
      </w:r>
    </w:p>
    <w:p>
      <w:r>
        <w:t>Pages translated : 1</w:t>
      </w:r>
    </w:p>
    <w:p/>
    <w:p>
      <w:r>
        <w:rPr>
          <w:b/>
        </w:rPr>
        <w:t>[Pages 1–1]</w:t>
      </w:r>
    </w:p>
    <w:p>
      <w:r>
        <w:t xml:space="preserve">C/1405/23  </w:t>
        <w:br/>
        <w:t xml:space="preserve">COMERCIA / UNIVERSALPAY  </w:t>
        <w:br/>
        <w:t xml:space="preserve">RESOLUTION  </w:t>
        <w:br/>
        <w:t xml:space="preserve">FILE COMERCIA / UNIVERSALPAY  </w:t>
        <w:br/>
        <w:t xml:space="preserve">(C/1405/23)  </w:t>
        <w:br/>
        <w:t>COUNCIL. COMPETITION CHAMBER</w:t>
      </w:r>
    </w:p>
    <w:p>
      <w:r>
        <w:t xml:space="preserve">President  </w:t>
        <w:br/>
        <w:t>Ms. Cani Fernández Vicién</w:t>
      </w:r>
    </w:p>
    <w:p>
      <w:r>
        <w:t xml:space="preserve">Counselors  </w:t>
        <w:br/>
        <w:t xml:space="preserve">Mr. Carlos Aguilar Paredes  </w:t>
        <w:br/>
        <w:t xml:space="preserve">Mr. Josep María Salas Prat  </w:t>
        <w:br/>
        <w:t xml:space="preserve">Ms. María Jesús Martín Martínez  </w:t>
        <w:br/>
        <w:t>Mr. Bernardo Lorenzo Almendros</w:t>
      </w:r>
    </w:p>
    <w:p>
      <w:r>
        <w:t xml:space="preserve">Secretary of the Council  </w:t>
        <w:br/>
        <w:t>Ms. María Ángeles Rodríguez Paraja</w:t>
      </w:r>
    </w:p>
    <w:p>
      <w:r>
        <w:t>In Madrid, on July 26, 2023</w:t>
      </w:r>
    </w:p>
    <w:p>
      <w:r>
        <w:t>The Competition Chamber has analyzed the concentration file processed in accordance with Law 15/2007, of July 3, on the Defense of Competition, consisting of the acquisition of exclusive control of UNIVERSALPAY, E.P., S.L.U. (UP) to joint control to be held by CAIXABANK, S.A. (CAIXABANK) and GLOBAL PAYMENTS, INC (GP) through COMERCIA GLOBAL PAYMENTS, E.P., S.L. (COMERCIA), a full-function joint venture jointly controlled by GP and CAIXABANK. In accordance with the report and proposal submitted by the Directorate of Competition, the Competition Chamber has resolved, under the application of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p>
      <w:r>
        <w:t xml:space="preserve">National Commission on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